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bookmarkStart w:id="0" w:name="_GoBack"/>
      <w:bookmarkEnd w:id="0"/>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sidR="00DA1441">
        <w:rPr>
          <w:rFonts w:cs="Arial"/>
          <w:b/>
          <w:bCs/>
        </w:rPr>
        <w:t>Audit &amp; Governance Committee</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476314">
        <w:rPr>
          <w:rFonts w:cs="Arial"/>
          <w:b/>
          <w:bCs/>
        </w:rPr>
        <w:t>28 September</w:t>
      </w:r>
      <w:r w:rsidR="009140B9">
        <w:rPr>
          <w:rFonts w:cs="Arial"/>
          <w:b/>
          <w:bCs/>
        </w:rPr>
        <w:t xml:space="preserve"> </w:t>
      </w:r>
      <w:r w:rsidR="00DA1441">
        <w:rPr>
          <w:rFonts w:cs="Arial"/>
          <w:b/>
          <w:bCs/>
        </w:rPr>
        <w:t>201</w:t>
      </w:r>
      <w:r w:rsidR="004761D2">
        <w:rPr>
          <w:rFonts w:cs="Arial"/>
          <w:b/>
          <w:bCs/>
        </w:rPr>
        <w:t>6</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832739">
        <w:rPr>
          <w:rFonts w:cs="Arial"/>
          <w:b/>
          <w:bCs/>
        </w:rPr>
        <w:t xml:space="preserve">Financial Services </w:t>
      </w:r>
      <w:r>
        <w:rPr>
          <w:rFonts w:cs="Arial"/>
          <w:b/>
          <w:bCs/>
        </w:rPr>
        <w:tab/>
      </w:r>
    </w:p>
    <w:p w:rsidR="00F4367A" w:rsidRDefault="00F4367A">
      <w:pPr>
        <w:tabs>
          <w:tab w:val="left" w:pos="2160"/>
        </w:tabs>
        <w:rPr>
          <w:rFonts w:cs="Arial"/>
          <w:b/>
          <w:bCs/>
        </w:rPr>
      </w:pPr>
    </w:p>
    <w:p w:rsidR="00F4367A" w:rsidRDefault="00F4367A" w:rsidP="004C5B6A">
      <w:pPr>
        <w:tabs>
          <w:tab w:val="left" w:pos="2160"/>
        </w:tabs>
        <w:ind w:left="2160" w:hanging="2160"/>
        <w:rPr>
          <w:rFonts w:cs="Arial"/>
          <w:b/>
          <w:bCs/>
        </w:rPr>
      </w:pPr>
      <w:r>
        <w:rPr>
          <w:rFonts w:cs="Arial"/>
          <w:b/>
          <w:bCs/>
        </w:rPr>
        <w:t>Title of Report:</w:t>
      </w:r>
      <w:r>
        <w:rPr>
          <w:rFonts w:cs="Arial"/>
          <w:b/>
          <w:bCs/>
        </w:rPr>
        <w:tab/>
      </w:r>
      <w:r w:rsidR="00476314" w:rsidRPr="00476314">
        <w:rPr>
          <w:rFonts w:cs="Arial"/>
          <w:b/>
          <w:bCs/>
        </w:rPr>
        <w:t>Investigation Team Performance and Activity Briefing</w:t>
      </w:r>
      <w:r w:rsidR="00476314">
        <w:rPr>
          <w:rFonts w:cs="Arial"/>
          <w:b/>
          <w:bCs/>
        </w:rPr>
        <w:t xml:space="preserve"> </w:t>
      </w:r>
    </w:p>
    <w:p w:rsidR="00F4367A" w:rsidRDefault="00F4367A">
      <w:pPr>
        <w:rPr>
          <w:rFonts w:cs="Arial"/>
        </w:rPr>
      </w:pPr>
    </w:p>
    <w:p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p>
    <w:p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r>
        <w:rPr>
          <w:u w:val="single"/>
        </w:rPr>
        <w:t>Summary and Recommendations</w:t>
      </w:r>
    </w:p>
    <w:p w:rsidR="00F4367A" w:rsidRDefault="00F4367A" w:rsidP="00514C63">
      <w:pPr>
        <w:pBdr>
          <w:top w:val="single" w:sz="4" w:space="1" w:color="auto"/>
          <w:left w:val="single" w:sz="4" w:space="4" w:color="auto"/>
          <w:bottom w:val="single" w:sz="4" w:space="1" w:color="auto"/>
          <w:right w:val="single" w:sz="4" w:space="3" w:color="auto"/>
        </w:pBdr>
        <w:rPr>
          <w:rFonts w:cs="Arial"/>
        </w:rPr>
      </w:pPr>
    </w:p>
    <w:p w:rsidR="00DA1441" w:rsidRDefault="00F4367A" w:rsidP="00514C63">
      <w:pPr>
        <w:pBdr>
          <w:top w:val="single" w:sz="4" w:space="1" w:color="auto"/>
          <w:left w:val="single" w:sz="4" w:space="4" w:color="auto"/>
          <w:bottom w:val="single" w:sz="4" w:space="1" w:color="auto"/>
          <w:right w:val="single" w:sz="4" w:space="3" w:color="auto"/>
        </w:pBdr>
        <w:rPr>
          <w:rFonts w:cs="Arial"/>
        </w:rPr>
      </w:pPr>
      <w:r>
        <w:rPr>
          <w:rFonts w:cs="Arial"/>
          <w:b/>
          <w:bCs/>
        </w:rPr>
        <w:t>Purpose of report</w:t>
      </w:r>
      <w:r>
        <w:rPr>
          <w:rFonts w:cs="Arial"/>
        </w:rPr>
        <w:t xml:space="preserve">: </w:t>
      </w:r>
      <w:r w:rsidR="00514C63">
        <w:rPr>
          <w:rFonts w:cs="Arial"/>
        </w:rPr>
        <w:t xml:space="preserve"> </w:t>
      </w:r>
    </w:p>
    <w:p w:rsidR="00AF136A" w:rsidRDefault="00DA1441"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 xml:space="preserve">1. To </w:t>
      </w:r>
      <w:r w:rsidR="00AF136A">
        <w:rPr>
          <w:rFonts w:cs="Arial"/>
        </w:rPr>
        <w:t>appr</w:t>
      </w:r>
      <w:r w:rsidR="00832739">
        <w:rPr>
          <w:rFonts w:cs="Arial"/>
        </w:rPr>
        <w:t>a</w:t>
      </w:r>
      <w:r w:rsidR="00AF136A">
        <w:rPr>
          <w:rFonts w:cs="Arial"/>
        </w:rPr>
        <w:t>ise</w:t>
      </w:r>
      <w:r>
        <w:rPr>
          <w:rFonts w:cs="Arial"/>
        </w:rPr>
        <w:t xml:space="preserve"> Members </w:t>
      </w:r>
      <w:r w:rsidR="00AF136A">
        <w:rPr>
          <w:rFonts w:cs="Arial"/>
        </w:rPr>
        <w:t xml:space="preserve">of </w:t>
      </w:r>
      <w:r>
        <w:rPr>
          <w:rFonts w:cs="Arial"/>
        </w:rPr>
        <w:t xml:space="preserve">the activity </w:t>
      </w:r>
      <w:r w:rsidR="00514C63">
        <w:rPr>
          <w:rFonts w:cs="Arial"/>
        </w:rPr>
        <w:t xml:space="preserve">and performance </w:t>
      </w:r>
      <w:r>
        <w:rPr>
          <w:rFonts w:cs="Arial"/>
        </w:rPr>
        <w:t xml:space="preserve">of the </w:t>
      </w:r>
      <w:r w:rsidR="00026745">
        <w:rPr>
          <w:rFonts w:cs="Arial"/>
        </w:rPr>
        <w:t xml:space="preserve">Corporate   </w:t>
      </w:r>
      <w:r>
        <w:rPr>
          <w:rFonts w:cs="Arial"/>
        </w:rPr>
        <w:t>Investigation</w:t>
      </w:r>
      <w:r w:rsidR="00514C63">
        <w:rPr>
          <w:rFonts w:cs="Arial"/>
        </w:rPr>
        <w:t xml:space="preserve"> </w:t>
      </w:r>
      <w:r>
        <w:rPr>
          <w:rFonts w:cs="Arial"/>
        </w:rPr>
        <w:t>Team for the period 1 April 201</w:t>
      </w:r>
      <w:r w:rsidR="00476314">
        <w:rPr>
          <w:rFonts w:cs="Arial"/>
        </w:rPr>
        <w:t>6</w:t>
      </w:r>
      <w:r>
        <w:rPr>
          <w:rFonts w:cs="Arial"/>
        </w:rPr>
        <w:t xml:space="preserve"> to </w:t>
      </w:r>
      <w:r w:rsidR="00514C63">
        <w:rPr>
          <w:rFonts w:cs="Arial"/>
        </w:rPr>
        <w:t>3</w:t>
      </w:r>
      <w:r w:rsidR="00B71216">
        <w:rPr>
          <w:rFonts w:cs="Arial"/>
        </w:rPr>
        <w:t xml:space="preserve">1 </w:t>
      </w:r>
      <w:r w:rsidR="00476314">
        <w:rPr>
          <w:rFonts w:cs="Arial"/>
        </w:rPr>
        <w:t>July</w:t>
      </w:r>
      <w:r w:rsidR="004761D2">
        <w:rPr>
          <w:rFonts w:cs="Arial"/>
        </w:rPr>
        <w:t xml:space="preserve"> 2016</w:t>
      </w:r>
    </w:p>
    <w:p w:rsidR="00F4367A" w:rsidRDefault="00F4367A"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rsidP="00514C63">
      <w:pPr>
        <w:pStyle w:val="Heading1"/>
        <w:pBdr>
          <w:top w:val="single" w:sz="4" w:space="1" w:color="auto"/>
          <w:left w:val="single" w:sz="4" w:space="4" w:color="auto"/>
          <w:bottom w:val="single" w:sz="4" w:space="1" w:color="auto"/>
          <w:right w:val="single" w:sz="4" w:space="3" w:color="auto"/>
        </w:pBdr>
        <w:tabs>
          <w:tab w:val="left" w:pos="3062"/>
        </w:tabs>
        <w:rPr>
          <w:bCs w:val="0"/>
        </w:rPr>
      </w:pPr>
      <w:r>
        <w:rPr>
          <w:bCs w:val="0"/>
        </w:rPr>
        <w:t xml:space="preserve">Key decision </w:t>
      </w:r>
      <w:r w:rsidR="00C61E57">
        <w:rPr>
          <w:b w:val="0"/>
          <w:bCs w:val="0"/>
        </w:rPr>
        <w:t>No</w:t>
      </w:r>
    </w:p>
    <w:p w:rsidR="00F4367A" w:rsidRDefault="00F4367A" w:rsidP="00514C63">
      <w:pPr>
        <w:pBdr>
          <w:top w:val="single" w:sz="4" w:space="1" w:color="auto"/>
          <w:left w:val="single" w:sz="4" w:space="4" w:color="auto"/>
          <w:bottom w:val="single" w:sz="4" w:space="1" w:color="auto"/>
          <w:right w:val="single" w:sz="4" w:space="3" w:color="auto"/>
        </w:pBdr>
        <w:rPr>
          <w:rFonts w:cs="Arial"/>
        </w:rPr>
      </w:pPr>
    </w:p>
    <w:p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Executive lead member: </w:t>
      </w:r>
      <w:r w:rsidR="00514C63" w:rsidRPr="00514C63">
        <w:rPr>
          <w:rFonts w:cs="Arial"/>
          <w:bCs/>
        </w:rPr>
        <w:t>Councillor Ed Turner</w:t>
      </w:r>
    </w:p>
    <w:p w:rsidR="00F4367A" w:rsidRDefault="00F4367A" w:rsidP="00514C63">
      <w:pPr>
        <w:pStyle w:val="Heading1"/>
        <w:pBdr>
          <w:top w:val="single" w:sz="4" w:space="1" w:color="auto"/>
          <w:left w:val="single" w:sz="4" w:space="4" w:color="auto"/>
          <w:bottom w:val="single" w:sz="4" w:space="1" w:color="auto"/>
          <w:right w:val="single" w:sz="4" w:space="3" w:color="auto"/>
        </w:pBdr>
      </w:pPr>
    </w:p>
    <w:p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Policy Framework: </w:t>
      </w:r>
      <w:r w:rsidR="00C61E57">
        <w:rPr>
          <w:rFonts w:cs="Arial"/>
          <w:b/>
          <w:bCs/>
        </w:rPr>
        <w:t>Corporate Plan Priority – Efficient &amp; Effective Council</w:t>
      </w:r>
    </w:p>
    <w:p w:rsidR="00F4367A" w:rsidRDefault="00F4367A" w:rsidP="00514C63">
      <w:pPr>
        <w:pStyle w:val="Heading1"/>
        <w:pBdr>
          <w:top w:val="single" w:sz="4" w:space="1" w:color="auto"/>
          <w:left w:val="single" w:sz="4" w:space="4" w:color="auto"/>
          <w:bottom w:val="single" w:sz="4" w:space="1" w:color="auto"/>
          <w:right w:val="single" w:sz="4" w:space="3" w:color="auto"/>
        </w:pBdr>
      </w:pPr>
    </w:p>
    <w:p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r>
        <w:rPr>
          <w:rFonts w:cs="Arial"/>
          <w:b/>
        </w:rPr>
        <w:t xml:space="preserve">Recommendation(s): </w:t>
      </w:r>
      <w:r w:rsidR="00514C63" w:rsidRPr="00514C63">
        <w:rPr>
          <w:rFonts w:cs="Arial"/>
        </w:rPr>
        <w:t>That the report be noted</w:t>
      </w:r>
      <w:r>
        <w:rPr>
          <w:rFonts w:cs="Arial"/>
          <w:b/>
        </w:rPr>
        <w:tab/>
      </w:r>
    </w:p>
    <w:p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p>
    <w:p w:rsidR="00F4367A" w:rsidRDefault="00F4367A">
      <w:pPr>
        <w:rPr>
          <w:rFonts w:cs="Arial"/>
        </w:rPr>
      </w:pPr>
    </w:p>
    <w:p w:rsidR="006E3B55" w:rsidRDefault="007F2AD3">
      <w:pPr>
        <w:rPr>
          <w:rFonts w:cs="Arial"/>
          <w:b/>
        </w:rPr>
      </w:pPr>
      <w:r>
        <w:rPr>
          <w:rFonts w:cs="Arial"/>
          <w:b/>
        </w:rPr>
        <w:t>Appendices</w:t>
      </w:r>
    </w:p>
    <w:p w:rsidR="00A710FB" w:rsidRDefault="00A710FB" w:rsidP="00495346">
      <w:pPr>
        <w:jc w:val="both"/>
      </w:pPr>
      <w:r>
        <w:t xml:space="preserve">Appendix 1 – </w:t>
      </w:r>
      <w:r w:rsidR="00EB5E5B">
        <w:t>Investigation</w:t>
      </w:r>
      <w:r>
        <w:t xml:space="preserve"> Team Open Day Agenda</w:t>
      </w:r>
    </w:p>
    <w:p w:rsidR="00A710FB" w:rsidRDefault="00A710FB" w:rsidP="00A710FB">
      <w:pPr>
        <w:jc w:val="both"/>
      </w:pPr>
      <w:r>
        <w:t>Appendix 2 – Internal Investigations – Exempt from publication</w:t>
      </w:r>
    </w:p>
    <w:p w:rsidR="007F2AD3" w:rsidRDefault="007F2AD3">
      <w:pPr>
        <w:rPr>
          <w:rFonts w:cs="Arial"/>
          <w:b/>
        </w:rPr>
      </w:pPr>
    </w:p>
    <w:p w:rsidR="007B6E54" w:rsidRDefault="00302A89">
      <w:pPr>
        <w:rPr>
          <w:rFonts w:cs="Arial"/>
          <w:b/>
        </w:rPr>
      </w:pPr>
      <w:r>
        <w:rPr>
          <w:rFonts w:cs="Arial"/>
          <w:b/>
        </w:rPr>
        <w:t xml:space="preserve">      </w:t>
      </w:r>
      <w:r w:rsidR="007B6E54">
        <w:rPr>
          <w:rFonts w:cs="Arial"/>
          <w:b/>
        </w:rPr>
        <w:t>Background</w:t>
      </w:r>
    </w:p>
    <w:p w:rsidR="007B6E54" w:rsidRDefault="007B6E54">
      <w:pPr>
        <w:rPr>
          <w:rFonts w:cs="Arial"/>
          <w:b/>
        </w:rPr>
      </w:pPr>
    </w:p>
    <w:p w:rsidR="001046A6" w:rsidRPr="005A6D59" w:rsidRDefault="00476314" w:rsidP="001046A6">
      <w:pPr>
        <w:pStyle w:val="ListParagraph"/>
        <w:numPr>
          <w:ilvl w:val="0"/>
          <w:numId w:val="2"/>
        </w:numPr>
        <w:rPr>
          <w:rFonts w:cs="Arial"/>
        </w:rPr>
      </w:pPr>
      <w:r w:rsidRPr="005A6D59">
        <w:rPr>
          <w:rFonts w:cs="Arial"/>
        </w:rPr>
        <w:t xml:space="preserve">The </w:t>
      </w:r>
      <w:r w:rsidR="005512A2" w:rsidRPr="005A6D59">
        <w:rPr>
          <w:rFonts w:cs="Arial"/>
        </w:rPr>
        <w:t xml:space="preserve">remit of the </w:t>
      </w:r>
      <w:r w:rsidRPr="005A6D59">
        <w:rPr>
          <w:rFonts w:cs="Arial"/>
        </w:rPr>
        <w:t xml:space="preserve">Corporate </w:t>
      </w:r>
      <w:r w:rsidR="005512A2" w:rsidRPr="005A6D59">
        <w:rPr>
          <w:rFonts w:cs="Arial"/>
        </w:rPr>
        <w:t xml:space="preserve">Investigation Team </w:t>
      </w:r>
      <w:r w:rsidRPr="005A6D59">
        <w:rPr>
          <w:rFonts w:cs="Arial"/>
        </w:rPr>
        <w:t xml:space="preserve">is to tackle fraud and irregularity across the Council, aligned </w:t>
      </w:r>
      <w:r w:rsidR="005A6D59" w:rsidRPr="005A6D59">
        <w:rPr>
          <w:rFonts w:cs="Arial"/>
        </w:rPr>
        <w:t xml:space="preserve">to our </w:t>
      </w:r>
      <w:r w:rsidR="001046A6" w:rsidRPr="005A6D59">
        <w:rPr>
          <w:rFonts w:cs="Arial"/>
        </w:rPr>
        <w:t xml:space="preserve">services’ fraud risks and the priorities identified by </w:t>
      </w:r>
      <w:r w:rsidR="00E96638" w:rsidRPr="005A6D59">
        <w:rPr>
          <w:rFonts w:cs="Arial"/>
        </w:rPr>
        <w:t xml:space="preserve">the </w:t>
      </w:r>
      <w:r w:rsidR="005A6D59" w:rsidRPr="005A6D59">
        <w:rPr>
          <w:rFonts w:cs="Arial"/>
        </w:rPr>
        <w:t xml:space="preserve">previous </w:t>
      </w:r>
      <w:r w:rsidR="00E96638" w:rsidRPr="005A6D59">
        <w:rPr>
          <w:rFonts w:cs="Arial"/>
        </w:rPr>
        <w:t>Audit Commission</w:t>
      </w:r>
      <w:r w:rsidR="005A6D59" w:rsidRPr="005A6D59">
        <w:rPr>
          <w:rFonts w:cs="Arial"/>
        </w:rPr>
        <w:t xml:space="preserve"> and The European Institute </w:t>
      </w:r>
      <w:proofErr w:type="gramStart"/>
      <w:r w:rsidR="005A6D59" w:rsidRPr="005A6D59">
        <w:rPr>
          <w:rFonts w:cs="Arial"/>
        </w:rPr>
        <w:t>For Combatting Corruption And</w:t>
      </w:r>
      <w:proofErr w:type="gramEnd"/>
      <w:r w:rsidR="005A6D59" w:rsidRPr="005A6D59">
        <w:rPr>
          <w:rFonts w:cs="Arial"/>
        </w:rPr>
        <w:t xml:space="preserve"> Fraud (TEICCAF)</w:t>
      </w:r>
      <w:r w:rsidR="001046A6" w:rsidRPr="005A6D59">
        <w:rPr>
          <w:rFonts w:cs="Arial"/>
        </w:rPr>
        <w:t>.</w:t>
      </w:r>
      <w:r w:rsidR="005A6D59" w:rsidRPr="005A6D59">
        <w:rPr>
          <w:rFonts w:cs="Arial"/>
        </w:rPr>
        <w:t xml:space="preserve"> </w:t>
      </w:r>
    </w:p>
    <w:p w:rsidR="00F83EE5" w:rsidRDefault="00F83EE5" w:rsidP="001046A6">
      <w:pPr>
        <w:ind w:left="360"/>
        <w:rPr>
          <w:rFonts w:cs="Arial"/>
        </w:rPr>
      </w:pPr>
    </w:p>
    <w:p w:rsidR="001046A6" w:rsidRPr="001046A6" w:rsidRDefault="001046A6" w:rsidP="001046A6">
      <w:pPr>
        <w:ind w:left="360"/>
        <w:rPr>
          <w:rFonts w:cs="Arial"/>
        </w:rPr>
      </w:pPr>
      <w:r>
        <w:rPr>
          <w:rFonts w:cs="Arial"/>
        </w:rPr>
        <w:t xml:space="preserve">The aims and objectives of the </w:t>
      </w:r>
      <w:r w:rsidR="0058032C">
        <w:rPr>
          <w:rFonts w:cs="Arial"/>
        </w:rPr>
        <w:t>T</w:t>
      </w:r>
      <w:r>
        <w:rPr>
          <w:rFonts w:cs="Arial"/>
        </w:rPr>
        <w:t xml:space="preserve">eam are to provide high quality professional </w:t>
      </w:r>
      <w:r w:rsidR="00862AB0">
        <w:rPr>
          <w:rFonts w:cs="Arial"/>
        </w:rPr>
        <w:t>c</w:t>
      </w:r>
      <w:r>
        <w:rPr>
          <w:rFonts w:cs="Arial"/>
        </w:rPr>
        <w:t xml:space="preserve">orporate </w:t>
      </w:r>
      <w:r w:rsidR="00862AB0">
        <w:rPr>
          <w:rFonts w:cs="Arial"/>
        </w:rPr>
        <w:t>f</w:t>
      </w:r>
      <w:r>
        <w:rPr>
          <w:rFonts w:cs="Arial"/>
        </w:rPr>
        <w:t xml:space="preserve">raud </w:t>
      </w:r>
      <w:r w:rsidR="00862AB0">
        <w:rPr>
          <w:rFonts w:cs="Arial"/>
        </w:rPr>
        <w:t xml:space="preserve">investigation </w:t>
      </w:r>
      <w:r>
        <w:rPr>
          <w:rFonts w:cs="Arial"/>
        </w:rPr>
        <w:t xml:space="preserve">services to the Council </w:t>
      </w:r>
      <w:r w:rsidR="00862AB0">
        <w:rPr>
          <w:rFonts w:cs="Arial"/>
        </w:rPr>
        <w:t>to</w:t>
      </w:r>
      <w:r>
        <w:rPr>
          <w:rFonts w:cs="Arial"/>
        </w:rPr>
        <w:t xml:space="preserve"> prevent and detect fraud and error within </w:t>
      </w:r>
      <w:r w:rsidR="00862AB0">
        <w:rPr>
          <w:rFonts w:cs="Arial"/>
        </w:rPr>
        <w:t xml:space="preserve">the </w:t>
      </w:r>
      <w:r>
        <w:rPr>
          <w:rFonts w:cs="Arial"/>
        </w:rPr>
        <w:t>Council and partner organisations, and to assist cross border agencies where possible.</w:t>
      </w:r>
      <w:r w:rsidR="00F83EE5">
        <w:rPr>
          <w:rFonts w:cs="Arial"/>
        </w:rPr>
        <w:t xml:space="preserve"> Through this activity, financial losses are prevented</w:t>
      </w:r>
      <w:r w:rsidR="005A6D59">
        <w:rPr>
          <w:rFonts w:cs="Arial"/>
        </w:rPr>
        <w:t xml:space="preserve">, </w:t>
      </w:r>
      <w:r w:rsidR="00F83EE5">
        <w:rPr>
          <w:rFonts w:cs="Arial"/>
        </w:rPr>
        <w:t>additional rev</w:t>
      </w:r>
      <w:r w:rsidR="005A6D59">
        <w:rPr>
          <w:rFonts w:cs="Arial"/>
        </w:rPr>
        <w:t>enue is identified for recovery, and income is secured through supply of services.</w:t>
      </w:r>
    </w:p>
    <w:p w:rsidR="00E55FA1" w:rsidRDefault="00E55FA1">
      <w:pPr>
        <w:rPr>
          <w:rFonts w:cs="Arial"/>
          <w:b/>
        </w:rPr>
      </w:pPr>
    </w:p>
    <w:p w:rsidR="00AA3834" w:rsidRDefault="00AA3834">
      <w:pPr>
        <w:rPr>
          <w:rFonts w:cs="Arial"/>
          <w:b/>
        </w:rPr>
      </w:pPr>
    </w:p>
    <w:p w:rsidR="002A48DC" w:rsidRPr="002A48DC" w:rsidRDefault="00302A89" w:rsidP="002A48DC">
      <w:pPr>
        <w:autoSpaceDE w:val="0"/>
        <w:autoSpaceDN w:val="0"/>
        <w:adjustRightInd w:val="0"/>
        <w:jc w:val="both"/>
        <w:rPr>
          <w:rFonts w:cs="Arial"/>
          <w:b/>
          <w:lang w:eastAsia="en-GB"/>
        </w:rPr>
      </w:pPr>
      <w:r>
        <w:rPr>
          <w:rFonts w:cs="Arial"/>
          <w:b/>
          <w:lang w:eastAsia="en-GB"/>
        </w:rPr>
        <w:t xml:space="preserve">      </w:t>
      </w:r>
      <w:r w:rsidR="002A48DC">
        <w:rPr>
          <w:rFonts w:cs="Arial"/>
          <w:b/>
          <w:lang w:eastAsia="en-GB"/>
        </w:rPr>
        <w:t>Performance</w:t>
      </w:r>
    </w:p>
    <w:p w:rsidR="002A48DC" w:rsidRPr="002A48DC" w:rsidRDefault="002A48DC" w:rsidP="002A48DC">
      <w:pPr>
        <w:autoSpaceDE w:val="0"/>
        <w:autoSpaceDN w:val="0"/>
        <w:adjustRightInd w:val="0"/>
        <w:jc w:val="both"/>
        <w:rPr>
          <w:rFonts w:cs="Arial"/>
          <w:lang w:eastAsia="en-GB"/>
        </w:rPr>
      </w:pPr>
    </w:p>
    <w:p w:rsidR="00036F46" w:rsidRPr="00036F46" w:rsidRDefault="00F83EE5" w:rsidP="00036F46">
      <w:pPr>
        <w:pStyle w:val="ListParagraph"/>
        <w:numPr>
          <w:ilvl w:val="0"/>
          <w:numId w:val="2"/>
        </w:numPr>
        <w:autoSpaceDE w:val="0"/>
        <w:autoSpaceDN w:val="0"/>
        <w:adjustRightInd w:val="0"/>
        <w:jc w:val="both"/>
        <w:rPr>
          <w:rFonts w:cs="Arial"/>
          <w:lang w:eastAsia="en-GB"/>
        </w:rPr>
      </w:pPr>
      <w:r>
        <w:rPr>
          <w:rFonts w:cs="Arial"/>
        </w:rPr>
        <w:t>For 201</w:t>
      </w:r>
      <w:r w:rsidR="005A6D59">
        <w:rPr>
          <w:rFonts w:cs="Arial"/>
        </w:rPr>
        <w:t>6/17</w:t>
      </w:r>
      <w:r>
        <w:rPr>
          <w:rFonts w:cs="Arial"/>
        </w:rPr>
        <w:t>, t</w:t>
      </w:r>
      <w:r w:rsidR="00036F46" w:rsidRPr="00036F46">
        <w:rPr>
          <w:rFonts w:cs="Arial"/>
        </w:rPr>
        <w:t xml:space="preserve">here </w:t>
      </w:r>
      <w:r w:rsidR="005A6D59">
        <w:rPr>
          <w:rFonts w:cs="Arial"/>
        </w:rPr>
        <w:t>a</w:t>
      </w:r>
      <w:r>
        <w:rPr>
          <w:rFonts w:cs="Arial"/>
        </w:rPr>
        <w:t>re</w:t>
      </w:r>
      <w:r w:rsidR="00036F46" w:rsidRPr="00036F46">
        <w:rPr>
          <w:rFonts w:cs="Arial"/>
        </w:rPr>
        <w:t xml:space="preserve"> </w:t>
      </w:r>
      <w:r w:rsidR="007E51E2">
        <w:rPr>
          <w:rFonts w:cs="Arial"/>
        </w:rPr>
        <w:t>four</w:t>
      </w:r>
      <w:r w:rsidR="00036F46" w:rsidRPr="00036F46">
        <w:rPr>
          <w:rFonts w:cs="Arial"/>
        </w:rPr>
        <w:t xml:space="preserve"> Service Performance Indicators </w:t>
      </w:r>
      <w:r w:rsidR="00036F46" w:rsidRPr="00036F46">
        <w:rPr>
          <w:rFonts w:cs="Arial"/>
          <w:lang w:eastAsia="en-GB"/>
        </w:rPr>
        <w:t xml:space="preserve">used to track performance on a monthly basis. Performance </w:t>
      </w:r>
      <w:r w:rsidR="004C71E8">
        <w:rPr>
          <w:rFonts w:cs="Arial"/>
          <w:lang w:eastAsia="en-GB"/>
        </w:rPr>
        <w:t xml:space="preserve">against these targets </w:t>
      </w:r>
      <w:r w:rsidR="00054FBB">
        <w:rPr>
          <w:rFonts w:cs="Arial"/>
          <w:lang w:eastAsia="en-GB"/>
        </w:rPr>
        <w:t>is shown in the table below</w:t>
      </w:r>
      <w:r w:rsidR="00036F46" w:rsidRPr="00036F46">
        <w:rPr>
          <w:rFonts w:cs="Arial"/>
          <w:lang w:eastAsia="en-GB"/>
        </w:rPr>
        <w:t xml:space="preserve">. </w:t>
      </w:r>
    </w:p>
    <w:p w:rsidR="00036F46" w:rsidRDefault="00036F46" w:rsidP="00036F46">
      <w:pPr>
        <w:rPr>
          <w:rFonts w:cs="Arial"/>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701"/>
        <w:gridCol w:w="3311"/>
      </w:tblGrid>
      <w:tr w:rsidR="00054FBB" w:rsidRPr="002A332E" w:rsidTr="00B14373">
        <w:tc>
          <w:tcPr>
            <w:tcW w:w="8414" w:type="dxa"/>
            <w:gridSpan w:val="4"/>
            <w:shd w:val="clear" w:color="auto" w:fill="548DD4"/>
          </w:tcPr>
          <w:p w:rsidR="00054FBB" w:rsidRPr="002A332E" w:rsidRDefault="00030F54" w:rsidP="00CD0ACF">
            <w:pPr>
              <w:autoSpaceDE w:val="0"/>
              <w:autoSpaceDN w:val="0"/>
              <w:adjustRightInd w:val="0"/>
              <w:rPr>
                <w:rFonts w:cs="Arial"/>
                <w:b/>
                <w:lang w:eastAsia="en-GB"/>
              </w:rPr>
            </w:pPr>
            <w:r>
              <w:rPr>
                <w:rFonts w:cs="Arial"/>
                <w:b/>
                <w:lang w:eastAsia="en-GB"/>
              </w:rPr>
              <w:t xml:space="preserve">Table 1 - </w:t>
            </w:r>
            <w:r w:rsidR="00054FBB">
              <w:rPr>
                <w:rFonts w:cs="Arial"/>
                <w:b/>
                <w:lang w:eastAsia="en-GB"/>
              </w:rPr>
              <w:t>Investi</w:t>
            </w:r>
            <w:r w:rsidR="00B71216">
              <w:rPr>
                <w:rFonts w:cs="Arial"/>
                <w:b/>
                <w:lang w:eastAsia="en-GB"/>
              </w:rPr>
              <w:t xml:space="preserve">gations Team Performance from </w:t>
            </w:r>
            <w:r w:rsidR="00CF67F4">
              <w:rPr>
                <w:rFonts w:cs="Arial"/>
                <w:b/>
                <w:lang w:eastAsia="en-GB"/>
              </w:rPr>
              <w:t xml:space="preserve">01 </w:t>
            </w:r>
            <w:r w:rsidR="00B71216">
              <w:rPr>
                <w:rFonts w:cs="Arial"/>
                <w:b/>
                <w:lang w:eastAsia="en-GB"/>
              </w:rPr>
              <w:t>April 201</w:t>
            </w:r>
            <w:r w:rsidR="00CD0ACF">
              <w:rPr>
                <w:rFonts w:cs="Arial"/>
                <w:b/>
                <w:lang w:eastAsia="en-GB"/>
              </w:rPr>
              <w:t>6</w:t>
            </w:r>
            <w:r w:rsidR="00B71216">
              <w:rPr>
                <w:rFonts w:cs="Arial"/>
                <w:b/>
                <w:lang w:eastAsia="en-GB"/>
              </w:rPr>
              <w:t xml:space="preserve"> </w:t>
            </w:r>
            <w:r w:rsidR="00B71216" w:rsidRPr="00CF67F4">
              <w:rPr>
                <w:rFonts w:cs="Arial"/>
                <w:b/>
                <w:lang w:eastAsia="en-GB"/>
              </w:rPr>
              <w:t xml:space="preserve">to </w:t>
            </w:r>
            <w:r w:rsidR="00CF67F4" w:rsidRPr="00CF67F4">
              <w:rPr>
                <w:rFonts w:cs="Arial"/>
                <w:b/>
                <w:lang w:eastAsia="en-GB"/>
              </w:rPr>
              <w:t xml:space="preserve">31 </w:t>
            </w:r>
            <w:r w:rsidR="00CD0ACF">
              <w:rPr>
                <w:rFonts w:cs="Arial"/>
                <w:b/>
                <w:lang w:eastAsia="en-GB"/>
              </w:rPr>
              <w:t>July</w:t>
            </w:r>
            <w:r w:rsidR="00F6212A" w:rsidRPr="00CF67F4">
              <w:rPr>
                <w:rFonts w:cs="Arial"/>
                <w:b/>
                <w:lang w:eastAsia="en-GB"/>
              </w:rPr>
              <w:t xml:space="preserve"> 2016</w:t>
            </w:r>
          </w:p>
        </w:tc>
      </w:tr>
      <w:tr w:rsidR="00B14373" w:rsidRPr="002A332E" w:rsidTr="00951391">
        <w:tc>
          <w:tcPr>
            <w:tcW w:w="1843" w:type="dxa"/>
            <w:shd w:val="clear" w:color="auto" w:fill="548DD4"/>
          </w:tcPr>
          <w:p w:rsidR="00B14373" w:rsidRPr="002A332E" w:rsidRDefault="00B14373" w:rsidP="00293121">
            <w:pPr>
              <w:autoSpaceDE w:val="0"/>
              <w:autoSpaceDN w:val="0"/>
              <w:adjustRightInd w:val="0"/>
              <w:jc w:val="center"/>
              <w:rPr>
                <w:rFonts w:cs="Arial"/>
                <w:b/>
                <w:lang w:eastAsia="en-GB"/>
              </w:rPr>
            </w:pPr>
            <w:r w:rsidRPr="002A332E">
              <w:rPr>
                <w:rFonts w:cs="Arial"/>
                <w:b/>
                <w:lang w:eastAsia="en-GB"/>
              </w:rPr>
              <w:t>Measure</w:t>
            </w:r>
          </w:p>
          <w:p w:rsidR="00B14373" w:rsidRPr="002A332E" w:rsidRDefault="00B14373" w:rsidP="00293121">
            <w:pPr>
              <w:autoSpaceDE w:val="0"/>
              <w:autoSpaceDN w:val="0"/>
              <w:adjustRightInd w:val="0"/>
              <w:jc w:val="center"/>
              <w:rPr>
                <w:rFonts w:cs="Arial"/>
                <w:b/>
                <w:lang w:eastAsia="en-GB"/>
              </w:rPr>
            </w:pPr>
          </w:p>
        </w:tc>
        <w:tc>
          <w:tcPr>
            <w:tcW w:w="1559" w:type="dxa"/>
            <w:shd w:val="clear" w:color="auto" w:fill="548DD4"/>
          </w:tcPr>
          <w:p w:rsidR="00B14373" w:rsidRDefault="00B14373" w:rsidP="00293121">
            <w:pPr>
              <w:autoSpaceDE w:val="0"/>
              <w:autoSpaceDN w:val="0"/>
              <w:adjustRightInd w:val="0"/>
              <w:jc w:val="center"/>
              <w:rPr>
                <w:rFonts w:cs="Arial"/>
                <w:b/>
                <w:lang w:eastAsia="en-GB"/>
              </w:rPr>
            </w:pPr>
            <w:r>
              <w:rPr>
                <w:rFonts w:cs="Arial"/>
                <w:b/>
                <w:lang w:eastAsia="en-GB"/>
              </w:rPr>
              <w:t>Annual Target</w:t>
            </w:r>
          </w:p>
        </w:tc>
        <w:tc>
          <w:tcPr>
            <w:tcW w:w="1701" w:type="dxa"/>
            <w:shd w:val="clear" w:color="auto" w:fill="548DD4"/>
          </w:tcPr>
          <w:p w:rsidR="00B14373" w:rsidRPr="002A332E" w:rsidRDefault="00B14373" w:rsidP="00F83EE5">
            <w:pPr>
              <w:autoSpaceDE w:val="0"/>
              <w:autoSpaceDN w:val="0"/>
              <w:adjustRightInd w:val="0"/>
              <w:jc w:val="center"/>
              <w:rPr>
                <w:rFonts w:cs="Arial"/>
                <w:b/>
                <w:lang w:eastAsia="en-GB"/>
              </w:rPr>
            </w:pPr>
            <w:r>
              <w:rPr>
                <w:rFonts w:cs="Arial"/>
                <w:b/>
                <w:lang w:eastAsia="en-GB"/>
              </w:rPr>
              <w:t>Total</w:t>
            </w:r>
            <w:r w:rsidR="009838EC">
              <w:rPr>
                <w:rFonts w:cs="Arial"/>
                <w:b/>
                <w:lang w:eastAsia="en-GB"/>
              </w:rPr>
              <w:t xml:space="preserve"> to 31.7.2016</w:t>
            </w:r>
          </w:p>
        </w:tc>
        <w:tc>
          <w:tcPr>
            <w:tcW w:w="3311" w:type="dxa"/>
            <w:shd w:val="clear" w:color="auto" w:fill="548DD4"/>
          </w:tcPr>
          <w:p w:rsidR="00B14373" w:rsidRPr="002A332E" w:rsidRDefault="00B14373" w:rsidP="00293121">
            <w:pPr>
              <w:autoSpaceDE w:val="0"/>
              <w:autoSpaceDN w:val="0"/>
              <w:adjustRightInd w:val="0"/>
              <w:jc w:val="center"/>
              <w:rPr>
                <w:rFonts w:cs="Arial"/>
                <w:b/>
                <w:lang w:eastAsia="en-GB"/>
              </w:rPr>
            </w:pPr>
            <w:r>
              <w:rPr>
                <w:rFonts w:cs="Arial"/>
                <w:b/>
                <w:lang w:eastAsia="en-GB"/>
              </w:rPr>
              <w:t>Comment</w:t>
            </w:r>
          </w:p>
        </w:tc>
      </w:tr>
      <w:tr w:rsidR="00B14373" w:rsidRPr="002A332E" w:rsidTr="00951391">
        <w:trPr>
          <w:trHeight w:val="1189"/>
        </w:trPr>
        <w:tc>
          <w:tcPr>
            <w:tcW w:w="1843" w:type="dxa"/>
            <w:shd w:val="clear" w:color="auto" w:fill="auto"/>
          </w:tcPr>
          <w:p w:rsidR="00B14373" w:rsidRPr="00951391" w:rsidRDefault="00951391" w:rsidP="000B234E">
            <w:pPr>
              <w:autoSpaceDE w:val="0"/>
              <w:autoSpaceDN w:val="0"/>
              <w:adjustRightInd w:val="0"/>
              <w:rPr>
                <w:rFonts w:cs="Arial"/>
                <w:lang w:eastAsia="en-GB"/>
              </w:rPr>
            </w:pPr>
            <w:r w:rsidRPr="00951391">
              <w:rPr>
                <w:bCs/>
              </w:rPr>
              <w:t>Number of social housing properties recovered and applications for housing stopped</w:t>
            </w:r>
          </w:p>
        </w:tc>
        <w:tc>
          <w:tcPr>
            <w:tcW w:w="1559" w:type="dxa"/>
          </w:tcPr>
          <w:p w:rsidR="00B14373" w:rsidRDefault="00B14373" w:rsidP="00293121">
            <w:pPr>
              <w:autoSpaceDE w:val="0"/>
              <w:autoSpaceDN w:val="0"/>
              <w:adjustRightInd w:val="0"/>
              <w:jc w:val="center"/>
              <w:rPr>
                <w:rFonts w:cs="Arial"/>
                <w:lang w:eastAsia="en-GB"/>
              </w:rPr>
            </w:pPr>
            <w:r>
              <w:rPr>
                <w:rFonts w:cs="Arial"/>
                <w:lang w:eastAsia="en-GB"/>
              </w:rPr>
              <w:t>2</w:t>
            </w:r>
            <w:r w:rsidR="00AE591A">
              <w:rPr>
                <w:rFonts w:cs="Arial"/>
                <w:lang w:eastAsia="en-GB"/>
              </w:rPr>
              <w:t>2</w:t>
            </w:r>
          </w:p>
        </w:tc>
        <w:tc>
          <w:tcPr>
            <w:tcW w:w="1701" w:type="dxa"/>
            <w:shd w:val="clear" w:color="auto" w:fill="auto"/>
          </w:tcPr>
          <w:p w:rsidR="00B14373" w:rsidRPr="002A332E" w:rsidRDefault="00AE591A" w:rsidP="004761D2">
            <w:pPr>
              <w:autoSpaceDE w:val="0"/>
              <w:autoSpaceDN w:val="0"/>
              <w:adjustRightInd w:val="0"/>
              <w:jc w:val="center"/>
              <w:rPr>
                <w:rFonts w:cs="Arial"/>
                <w:lang w:eastAsia="en-GB"/>
              </w:rPr>
            </w:pPr>
            <w:r>
              <w:rPr>
                <w:rFonts w:cs="Arial"/>
                <w:lang w:eastAsia="en-GB"/>
              </w:rPr>
              <w:t>7</w:t>
            </w:r>
          </w:p>
        </w:tc>
        <w:tc>
          <w:tcPr>
            <w:tcW w:w="3311" w:type="dxa"/>
            <w:shd w:val="clear" w:color="auto" w:fill="auto"/>
          </w:tcPr>
          <w:p w:rsidR="00B14373" w:rsidRPr="00365161" w:rsidRDefault="00951391" w:rsidP="002313E2">
            <w:pPr>
              <w:autoSpaceDE w:val="0"/>
              <w:autoSpaceDN w:val="0"/>
              <w:adjustRightInd w:val="0"/>
              <w:rPr>
                <w:rFonts w:cs="Arial"/>
                <w:lang w:eastAsia="en-GB"/>
              </w:rPr>
            </w:pPr>
            <w:r>
              <w:rPr>
                <w:rFonts w:cs="Arial"/>
                <w:lang w:eastAsia="en-GB"/>
              </w:rPr>
              <w:t>Performance on track to achieve annual target</w:t>
            </w:r>
          </w:p>
        </w:tc>
      </w:tr>
      <w:tr w:rsidR="00B14373" w:rsidRPr="002A332E" w:rsidTr="00951391">
        <w:tc>
          <w:tcPr>
            <w:tcW w:w="1843" w:type="dxa"/>
            <w:shd w:val="clear" w:color="auto" w:fill="auto"/>
          </w:tcPr>
          <w:p w:rsidR="00B14373" w:rsidRPr="00365161" w:rsidRDefault="00951391" w:rsidP="00C309D1">
            <w:pPr>
              <w:autoSpaceDE w:val="0"/>
              <w:autoSpaceDN w:val="0"/>
              <w:adjustRightInd w:val="0"/>
              <w:rPr>
                <w:rFonts w:cs="Arial"/>
                <w:lang w:eastAsia="en-GB"/>
              </w:rPr>
            </w:pPr>
            <w:r>
              <w:rPr>
                <w:bCs/>
              </w:rPr>
              <w:t>Achieve cost neutrality from identification of revenue through investigation activity</w:t>
            </w:r>
          </w:p>
        </w:tc>
        <w:tc>
          <w:tcPr>
            <w:tcW w:w="1559" w:type="dxa"/>
          </w:tcPr>
          <w:p w:rsidR="00B14373" w:rsidRDefault="00B14373" w:rsidP="00951391">
            <w:pPr>
              <w:autoSpaceDE w:val="0"/>
              <w:autoSpaceDN w:val="0"/>
              <w:adjustRightInd w:val="0"/>
              <w:jc w:val="center"/>
              <w:rPr>
                <w:rFonts w:cs="Arial"/>
                <w:lang w:eastAsia="en-GB"/>
              </w:rPr>
            </w:pPr>
            <w:r>
              <w:rPr>
                <w:rFonts w:cs="Arial"/>
                <w:lang w:eastAsia="en-GB"/>
              </w:rPr>
              <w:t>£2</w:t>
            </w:r>
            <w:r w:rsidR="00951391">
              <w:rPr>
                <w:rFonts w:cs="Arial"/>
                <w:lang w:eastAsia="en-GB"/>
              </w:rPr>
              <w:t>34</w:t>
            </w:r>
            <w:r>
              <w:rPr>
                <w:rFonts w:cs="Arial"/>
                <w:lang w:eastAsia="en-GB"/>
              </w:rPr>
              <w:t>,000</w:t>
            </w:r>
          </w:p>
        </w:tc>
        <w:tc>
          <w:tcPr>
            <w:tcW w:w="1701" w:type="dxa"/>
            <w:shd w:val="clear" w:color="auto" w:fill="auto"/>
          </w:tcPr>
          <w:p w:rsidR="00B14373" w:rsidRPr="00CF67F4" w:rsidRDefault="00B14373" w:rsidP="00257142">
            <w:pPr>
              <w:autoSpaceDE w:val="0"/>
              <w:autoSpaceDN w:val="0"/>
              <w:adjustRightInd w:val="0"/>
              <w:ind w:left="295" w:hanging="399"/>
              <w:jc w:val="center"/>
              <w:rPr>
                <w:rFonts w:cs="Arial"/>
                <w:lang w:eastAsia="en-GB"/>
              </w:rPr>
            </w:pPr>
            <w:r w:rsidRPr="00CF67F4">
              <w:rPr>
                <w:rFonts w:cs="Arial"/>
                <w:lang w:eastAsia="en-GB"/>
              </w:rPr>
              <w:t>£</w:t>
            </w:r>
            <w:r w:rsidR="00951391">
              <w:rPr>
                <w:rFonts w:cs="Arial"/>
                <w:lang w:eastAsia="en-GB"/>
              </w:rPr>
              <w:t>626,371</w:t>
            </w:r>
          </w:p>
          <w:p w:rsidR="00AE11F0" w:rsidRPr="002A332E" w:rsidRDefault="00AE11F0" w:rsidP="005A30DF">
            <w:pPr>
              <w:autoSpaceDE w:val="0"/>
              <w:autoSpaceDN w:val="0"/>
              <w:adjustRightInd w:val="0"/>
              <w:ind w:left="34"/>
              <w:rPr>
                <w:rFonts w:cs="Arial"/>
                <w:lang w:eastAsia="en-GB"/>
              </w:rPr>
            </w:pPr>
          </w:p>
        </w:tc>
        <w:tc>
          <w:tcPr>
            <w:tcW w:w="3311" w:type="dxa"/>
            <w:shd w:val="clear" w:color="auto" w:fill="auto"/>
          </w:tcPr>
          <w:p w:rsidR="00B14373" w:rsidRPr="002A332E" w:rsidRDefault="00B14373" w:rsidP="00C45EEB">
            <w:pPr>
              <w:autoSpaceDE w:val="0"/>
              <w:autoSpaceDN w:val="0"/>
              <w:adjustRightInd w:val="0"/>
              <w:rPr>
                <w:rFonts w:cs="Arial"/>
                <w:lang w:eastAsia="en-GB"/>
              </w:rPr>
            </w:pPr>
            <w:r>
              <w:rPr>
                <w:rFonts w:cs="Arial"/>
                <w:lang w:eastAsia="en-GB"/>
              </w:rPr>
              <w:t>See Table 2 for breakdown</w:t>
            </w:r>
          </w:p>
        </w:tc>
      </w:tr>
      <w:tr w:rsidR="00B14373" w:rsidRPr="002A332E" w:rsidTr="00951391">
        <w:tc>
          <w:tcPr>
            <w:tcW w:w="1843" w:type="dxa"/>
            <w:shd w:val="clear" w:color="auto" w:fill="auto"/>
          </w:tcPr>
          <w:p w:rsidR="00B14373" w:rsidRDefault="00951391" w:rsidP="00293121">
            <w:pPr>
              <w:autoSpaceDE w:val="0"/>
              <w:autoSpaceDN w:val="0"/>
              <w:adjustRightInd w:val="0"/>
              <w:rPr>
                <w:bCs/>
              </w:rPr>
            </w:pPr>
            <w:r>
              <w:rPr>
                <w:bCs/>
              </w:rPr>
              <w:t>Prevent financial losses to the Council through investigation activity</w:t>
            </w:r>
          </w:p>
        </w:tc>
        <w:tc>
          <w:tcPr>
            <w:tcW w:w="1559" w:type="dxa"/>
          </w:tcPr>
          <w:p w:rsidR="00B14373" w:rsidRDefault="00951391" w:rsidP="00293121">
            <w:pPr>
              <w:autoSpaceDE w:val="0"/>
              <w:autoSpaceDN w:val="0"/>
              <w:adjustRightInd w:val="0"/>
              <w:jc w:val="center"/>
              <w:rPr>
                <w:rFonts w:cs="Arial"/>
                <w:lang w:eastAsia="en-GB"/>
              </w:rPr>
            </w:pPr>
            <w:r>
              <w:rPr>
                <w:rFonts w:cs="Arial"/>
                <w:lang w:eastAsia="en-GB"/>
              </w:rPr>
              <w:t>£1,750,000</w:t>
            </w:r>
          </w:p>
        </w:tc>
        <w:tc>
          <w:tcPr>
            <w:tcW w:w="1701" w:type="dxa"/>
            <w:shd w:val="clear" w:color="auto" w:fill="auto"/>
          </w:tcPr>
          <w:p w:rsidR="00B14373" w:rsidRDefault="007E51E2" w:rsidP="00BA4032">
            <w:pPr>
              <w:autoSpaceDE w:val="0"/>
              <w:autoSpaceDN w:val="0"/>
              <w:adjustRightInd w:val="0"/>
              <w:ind w:left="-15" w:hanging="89"/>
              <w:jc w:val="center"/>
              <w:rPr>
                <w:rFonts w:cs="Arial"/>
                <w:lang w:eastAsia="en-GB"/>
              </w:rPr>
            </w:pPr>
            <w:r>
              <w:rPr>
                <w:rFonts w:cs="Arial"/>
                <w:lang w:eastAsia="en-GB"/>
              </w:rPr>
              <w:t>£1,372,059</w:t>
            </w:r>
          </w:p>
        </w:tc>
        <w:tc>
          <w:tcPr>
            <w:tcW w:w="3311" w:type="dxa"/>
            <w:shd w:val="clear" w:color="auto" w:fill="auto"/>
          </w:tcPr>
          <w:p w:rsidR="00B14373" w:rsidRDefault="007E51E2" w:rsidP="001309C9">
            <w:pPr>
              <w:autoSpaceDE w:val="0"/>
              <w:autoSpaceDN w:val="0"/>
              <w:adjustRightInd w:val="0"/>
              <w:rPr>
                <w:rFonts w:cs="Arial"/>
                <w:lang w:eastAsia="en-GB"/>
              </w:rPr>
            </w:pPr>
            <w:r w:rsidRPr="007E51E2">
              <w:rPr>
                <w:rFonts w:cs="Arial"/>
                <w:lang w:eastAsia="en-GB"/>
              </w:rPr>
              <w:t>See Table 2 for breakdown</w:t>
            </w:r>
          </w:p>
        </w:tc>
      </w:tr>
      <w:tr w:rsidR="007E51E2" w:rsidRPr="002A332E" w:rsidTr="00951391">
        <w:tc>
          <w:tcPr>
            <w:tcW w:w="1843" w:type="dxa"/>
            <w:shd w:val="clear" w:color="auto" w:fill="auto"/>
          </w:tcPr>
          <w:p w:rsidR="007E51E2" w:rsidRDefault="007E51E2" w:rsidP="007E51E2">
            <w:pPr>
              <w:autoSpaceDE w:val="0"/>
              <w:autoSpaceDN w:val="0"/>
              <w:adjustRightInd w:val="0"/>
              <w:rPr>
                <w:bCs/>
              </w:rPr>
            </w:pPr>
            <w:r>
              <w:rPr>
                <w:bCs/>
              </w:rPr>
              <w:t xml:space="preserve">Investigation Team Satisfaction Surveys </w:t>
            </w:r>
          </w:p>
        </w:tc>
        <w:tc>
          <w:tcPr>
            <w:tcW w:w="1559" w:type="dxa"/>
          </w:tcPr>
          <w:p w:rsidR="007E51E2" w:rsidRDefault="007E51E2" w:rsidP="00293121">
            <w:pPr>
              <w:autoSpaceDE w:val="0"/>
              <w:autoSpaceDN w:val="0"/>
              <w:adjustRightInd w:val="0"/>
              <w:jc w:val="center"/>
              <w:rPr>
                <w:rFonts w:cs="Arial"/>
                <w:lang w:eastAsia="en-GB"/>
              </w:rPr>
            </w:pPr>
            <w:r>
              <w:rPr>
                <w:rFonts w:cs="Arial"/>
                <w:lang w:eastAsia="en-GB"/>
              </w:rPr>
              <w:t>80% either    satisfied or    extremely satisfied with service</w:t>
            </w:r>
          </w:p>
        </w:tc>
        <w:tc>
          <w:tcPr>
            <w:tcW w:w="1701" w:type="dxa"/>
            <w:shd w:val="clear" w:color="auto" w:fill="auto"/>
          </w:tcPr>
          <w:p w:rsidR="007E51E2" w:rsidRDefault="007E51E2" w:rsidP="00BA4032">
            <w:pPr>
              <w:autoSpaceDE w:val="0"/>
              <w:autoSpaceDN w:val="0"/>
              <w:adjustRightInd w:val="0"/>
              <w:ind w:left="-15" w:hanging="89"/>
              <w:jc w:val="center"/>
              <w:rPr>
                <w:rFonts w:cs="Arial"/>
                <w:lang w:eastAsia="en-GB"/>
              </w:rPr>
            </w:pPr>
            <w:r>
              <w:rPr>
                <w:rFonts w:cs="Arial"/>
                <w:lang w:eastAsia="en-GB"/>
              </w:rPr>
              <w:t>100%</w:t>
            </w:r>
          </w:p>
        </w:tc>
        <w:tc>
          <w:tcPr>
            <w:tcW w:w="3311" w:type="dxa"/>
            <w:shd w:val="clear" w:color="auto" w:fill="auto"/>
          </w:tcPr>
          <w:p w:rsidR="007E51E2" w:rsidRPr="007E51E2" w:rsidRDefault="007E51E2" w:rsidP="001309C9">
            <w:pPr>
              <w:autoSpaceDE w:val="0"/>
              <w:autoSpaceDN w:val="0"/>
              <w:adjustRightInd w:val="0"/>
              <w:rPr>
                <w:rFonts w:cs="Arial"/>
                <w:lang w:eastAsia="en-GB"/>
              </w:rPr>
            </w:pPr>
            <w:r>
              <w:rPr>
                <w:rFonts w:cs="Arial"/>
                <w:lang w:eastAsia="en-GB"/>
              </w:rPr>
              <w:t>From the 9 responses received of the 13 issued in the period, 100% were either satisfied or extremely satisfied with the service</w:t>
            </w:r>
          </w:p>
        </w:tc>
      </w:tr>
    </w:tbl>
    <w:p w:rsidR="00036F46" w:rsidRDefault="00036F46" w:rsidP="00036F46">
      <w:pPr>
        <w:rPr>
          <w:rFonts w:cs="Arial"/>
        </w:rPr>
      </w:pPr>
    </w:p>
    <w:p w:rsidR="00AB4D1C" w:rsidRDefault="00AB4D1C" w:rsidP="00036F46">
      <w:pPr>
        <w:rPr>
          <w:rFonts w:cs="Arial"/>
        </w:rPr>
      </w:pPr>
    </w:p>
    <w:p w:rsidR="007F2AD3" w:rsidRDefault="007F2AD3" w:rsidP="00D637B1">
      <w:pPr>
        <w:ind w:left="270"/>
        <w:rPr>
          <w:rFonts w:cs="Arial"/>
        </w:rPr>
      </w:pPr>
    </w:p>
    <w:p w:rsidR="007F2AD3" w:rsidRDefault="007F2AD3" w:rsidP="00D637B1">
      <w:pPr>
        <w:ind w:left="270"/>
        <w:rPr>
          <w:rFonts w:cs="Arial"/>
        </w:rPr>
      </w:pPr>
    </w:p>
    <w:p w:rsidR="00AB4D1C" w:rsidRDefault="00AB4D1C" w:rsidP="00036F46">
      <w:pPr>
        <w:rPr>
          <w:rFonts w:cs="Arial"/>
        </w:rPr>
      </w:pPr>
    </w:p>
    <w:p w:rsidR="00AE11F0" w:rsidRDefault="00AE11F0" w:rsidP="00036F46">
      <w:pPr>
        <w:rPr>
          <w:rFonts w:cs="Arial"/>
        </w:rPr>
      </w:pPr>
    </w:p>
    <w:p w:rsidR="00AE11F0" w:rsidRDefault="00AE11F0" w:rsidP="00036F46">
      <w:pPr>
        <w:rPr>
          <w:rFonts w:cs="Arial"/>
        </w:rPr>
      </w:pPr>
    </w:p>
    <w:p w:rsidR="00A071B3" w:rsidRDefault="00A071B3" w:rsidP="00036F46">
      <w:pPr>
        <w:rPr>
          <w:rFonts w:cs="Arial"/>
        </w:rPr>
      </w:pPr>
    </w:p>
    <w:p w:rsidR="00A071B3" w:rsidRDefault="00A071B3" w:rsidP="00036F46">
      <w:pPr>
        <w:rPr>
          <w:rFonts w:cs="Arial"/>
        </w:rPr>
      </w:pPr>
    </w:p>
    <w:p w:rsidR="00A071B3" w:rsidRDefault="00A071B3" w:rsidP="00036F46">
      <w:pPr>
        <w:rPr>
          <w:rFonts w:cs="Arial"/>
        </w:rPr>
      </w:pPr>
    </w:p>
    <w:p w:rsidR="00A071B3" w:rsidRDefault="00A071B3" w:rsidP="00036F46">
      <w:pPr>
        <w:rPr>
          <w:rFonts w:cs="Arial"/>
        </w:rPr>
      </w:pPr>
    </w:p>
    <w:p w:rsidR="009C2E88" w:rsidRDefault="009C2E88" w:rsidP="00036F46">
      <w:pPr>
        <w:rPr>
          <w:rFonts w:cs="Arial"/>
        </w:rPr>
      </w:pPr>
    </w:p>
    <w:p w:rsidR="002513A0" w:rsidRPr="00A314C9" w:rsidRDefault="001C2BEE" w:rsidP="00A314C9">
      <w:pPr>
        <w:pStyle w:val="ListParagraph"/>
        <w:numPr>
          <w:ilvl w:val="0"/>
          <w:numId w:val="2"/>
        </w:numPr>
        <w:rPr>
          <w:rFonts w:cs="Arial"/>
        </w:rPr>
      </w:pPr>
      <w:r>
        <w:rPr>
          <w:rFonts w:cs="Arial"/>
        </w:rPr>
        <w:lastRenderedPageBreak/>
        <w:t>T</w:t>
      </w:r>
      <w:r w:rsidR="00A314C9">
        <w:rPr>
          <w:rFonts w:cs="Arial"/>
        </w:rPr>
        <w:t xml:space="preserve">able </w:t>
      </w:r>
      <w:r>
        <w:rPr>
          <w:rFonts w:cs="Arial"/>
        </w:rPr>
        <w:t xml:space="preserve">2 </w:t>
      </w:r>
      <w:r w:rsidR="00A314C9">
        <w:rPr>
          <w:rFonts w:cs="Arial"/>
        </w:rPr>
        <w:t xml:space="preserve">below </w:t>
      </w:r>
      <w:r>
        <w:rPr>
          <w:rFonts w:cs="Arial"/>
        </w:rPr>
        <w:t xml:space="preserve">provides </w:t>
      </w:r>
      <w:r w:rsidR="0060790A">
        <w:rPr>
          <w:rFonts w:cs="Arial"/>
        </w:rPr>
        <w:t>a breakdown</w:t>
      </w:r>
      <w:r>
        <w:rPr>
          <w:rFonts w:cs="Arial"/>
        </w:rPr>
        <w:t xml:space="preserve"> of the </w:t>
      </w:r>
      <w:r w:rsidR="00775048">
        <w:rPr>
          <w:rFonts w:cs="Arial"/>
        </w:rPr>
        <w:t>income recovered</w:t>
      </w:r>
      <w:r w:rsidR="0060790A">
        <w:rPr>
          <w:rFonts w:cs="Arial"/>
        </w:rPr>
        <w:t xml:space="preserve"> or generated,</w:t>
      </w:r>
      <w:r w:rsidR="00775048">
        <w:rPr>
          <w:rFonts w:cs="Arial"/>
        </w:rPr>
        <w:t xml:space="preserve"> and loss</w:t>
      </w:r>
      <w:r w:rsidR="0060790A">
        <w:rPr>
          <w:rFonts w:cs="Arial"/>
        </w:rPr>
        <w:t xml:space="preserve">es prevented </w:t>
      </w:r>
      <w:r w:rsidR="00775048">
        <w:rPr>
          <w:rFonts w:cs="Arial"/>
        </w:rPr>
        <w:t>by the Team</w:t>
      </w:r>
      <w:r w:rsidR="001878F4">
        <w:rPr>
          <w:rFonts w:cs="Arial"/>
        </w:rPr>
        <w:t>.</w:t>
      </w:r>
    </w:p>
    <w:p w:rsidR="00AA3834" w:rsidRDefault="00AA3834" w:rsidP="00C10750">
      <w:pPr>
        <w:rPr>
          <w:rFonts w:cs="Arial"/>
        </w:rPr>
      </w:pPr>
    </w:p>
    <w:tbl>
      <w:tblPr>
        <w:tblStyle w:val="TableGrid"/>
        <w:tblW w:w="0" w:type="auto"/>
        <w:tblLook w:val="04A0" w:firstRow="1" w:lastRow="0" w:firstColumn="1" w:lastColumn="0" w:noHBand="0" w:noVBand="1"/>
      </w:tblPr>
      <w:tblGrid>
        <w:gridCol w:w="2006"/>
        <w:gridCol w:w="1587"/>
        <w:gridCol w:w="1617"/>
        <w:gridCol w:w="3312"/>
      </w:tblGrid>
      <w:tr w:rsidR="00030F54" w:rsidRPr="009A02CB" w:rsidTr="00030F54">
        <w:tc>
          <w:tcPr>
            <w:tcW w:w="8522" w:type="dxa"/>
            <w:gridSpan w:val="4"/>
            <w:shd w:val="clear" w:color="auto" w:fill="548DD4" w:themeFill="text2" w:themeFillTint="99"/>
          </w:tcPr>
          <w:p w:rsidR="00030F54" w:rsidRPr="009A02CB" w:rsidRDefault="00030F54" w:rsidP="0060790A">
            <w:pPr>
              <w:jc w:val="center"/>
              <w:rPr>
                <w:rFonts w:cs="Arial"/>
                <w:b/>
                <w:sz w:val="22"/>
              </w:rPr>
            </w:pPr>
            <w:r w:rsidRPr="009A02CB">
              <w:rPr>
                <w:rFonts w:cs="Arial"/>
                <w:b/>
                <w:sz w:val="22"/>
              </w:rPr>
              <w:t xml:space="preserve">Table 2 – Breakdown of Income &amp; Savings achieved </w:t>
            </w:r>
            <w:r w:rsidR="007830B1" w:rsidRPr="009A02CB">
              <w:rPr>
                <w:rFonts w:cs="Arial"/>
                <w:b/>
                <w:sz w:val="22"/>
              </w:rPr>
              <w:t xml:space="preserve">1 April </w:t>
            </w:r>
            <w:r w:rsidR="009C2E88" w:rsidRPr="009A02CB">
              <w:rPr>
                <w:rFonts w:cs="Arial"/>
                <w:b/>
                <w:sz w:val="22"/>
              </w:rPr>
              <w:t>201</w:t>
            </w:r>
            <w:r w:rsidR="0060790A" w:rsidRPr="009A02CB">
              <w:rPr>
                <w:rFonts w:cs="Arial"/>
                <w:b/>
                <w:sz w:val="22"/>
              </w:rPr>
              <w:t>6</w:t>
            </w:r>
            <w:r w:rsidR="009C2E88" w:rsidRPr="009A02CB">
              <w:rPr>
                <w:rFonts w:cs="Arial"/>
                <w:b/>
                <w:sz w:val="22"/>
              </w:rPr>
              <w:t xml:space="preserve"> to     </w:t>
            </w:r>
            <w:r w:rsidR="00CD0ACF">
              <w:rPr>
                <w:rFonts w:cs="Arial"/>
                <w:b/>
                <w:sz w:val="22"/>
              </w:rPr>
              <w:t xml:space="preserve">        </w:t>
            </w:r>
            <w:r w:rsidR="009C2E88" w:rsidRPr="009A02CB">
              <w:rPr>
                <w:rFonts w:cs="Arial"/>
                <w:b/>
                <w:sz w:val="22"/>
              </w:rPr>
              <w:t xml:space="preserve">      31 </w:t>
            </w:r>
            <w:r w:rsidR="0060790A" w:rsidRPr="009A02CB">
              <w:rPr>
                <w:rFonts w:cs="Arial"/>
                <w:b/>
                <w:sz w:val="22"/>
              </w:rPr>
              <w:t>July</w:t>
            </w:r>
            <w:r w:rsidR="007830B1" w:rsidRPr="009A02CB">
              <w:rPr>
                <w:rFonts w:cs="Arial"/>
                <w:b/>
                <w:sz w:val="22"/>
              </w:rPr>
              <w:t xml:space="preserve"> </w:t>
            </w:r>
            <w:r w:rsidR="009C2E88" w:rsidRPr="009A02CB">
              <w:rPr>
                <w:rFonts w:cs="Arial"/>
                <w:b/>
                <w:sz w:val="22"/>
              </w:rPr>
              <w:t>2016</w:t>
            </w:r>
          </w:p>
        </w:tc>
      </w:tr>
      <w:tr w:rsidR="00805BB0" w:rsidRPr="009A02CB" w:rsidTr="00257142">
        <w:tc>
          <w:tcPr>
            <w:tcW w:w="2006" w:type="dxa"/>
            <w:shd w:val="clear" w:color="auto" w:fill="548DD4" w:themeFill="text2" w:themeFillTint="99"/>
          </w:tcPr>
          <w:p w:rsidR="00832739" w:rsidRPr="009A02CB" w:rsidRDefault="00832739" w:rsidP="00C10750">
            <w:pPr>
              <w:rPr>
                <w:rFonts w:cs="Arial"/>
                <w:b/>
                <w:sz w:val="22"/>
              </w:rPr>
            </w:pPr>
          </w:p>
        </w:tc>
        <w:tc>
          <w:tcPr>
            <w:tcW w:w="1587" w:type="dxa"/>
            <w:shd w:val="clear" w:color="auto" w:fill="548DD4" w:themeFill="text2" w:themeFillTint="99"/>
          </w:tcPr>
          <w:p w:rsidR="00832739" w:rsidRPr="009A02CB" w:rsidRDefault="004B20D8" w:rsidP="00C10750">
            <w:pPr>
              <w:rPr>
                <w:rFonts w:cs="Arial"/>
                <w:b/>
                <w:sz w:val="22"/>
              </w:rPr>
            </w:pPr>
            <w:r w:rsidRPr="009A02CB">
              <w:rPr>
                <w:rFonts w:cs="Arial"/>
                <w:b/>
                <w:sz w:val="22"/>
              </w:rPr>
              <w:t>Income</w:t>
            </w:r>
          </w:p>
        </w:tc>
        <w:tc>
          <w:tcPr>
            <w:tcW w:w="1617" w:type="dxa"/>
            <w:shd w:val="clear" w:color="auto" w:fill="548DD4" w:themeFill="text2" w:themeFillTint="99"/>
          </w:tcPr>
          <w:p w:rsidR="00832739" w:rsidRPr="009A02CB" w:rsidRDefault="004A77C5" w:rsidP="00C10750">
            <w:pPr>
              <w:rPr>
                <w:rFonts w:cs="Arial"/>
                <w:b/>
                <w:sz w:val="22"/>
              </w:rPr>
            </w:pPr>
            <w:r w:rsidRPr="009A02CB">
              <w:rPr>
                <w:rFonts w:cs="Arial"/>
                <w:b/>
                <w:sz w:val="22"/>
              </w:rPr>
              <w:t>Loss</w:t>
            </w:r>
          </w:p>
        </w:tc>
        <w:tc>
          <w:tcPr>
            <w:tcW w:w="3312" w:type="dxa"/>
            <w:shd w:val="clear" w:color="auto" w:fill="548DD4" w:themeFill="text2" w:themeFillTint="99"/>
          </w:tcPr>
          <w:p w:rsidR="00832739" w:rsidRPr="009A02CB" w:rsidRDefault="00832739" w:rsidP="00C10750">
            <w:pPr>
              <w:rPr>
                <w:rFonts w:cs="Arial"/>
                <w:b/>
                <w:sz w:val="22"/>
              </w:rPr>
            </w:pPr>
          </w:p>
        </w:tc>
      </w:tr>
      <w:tr w:rsidR="00805BB0" w:rsidRPr="009A02CB" w:rsidTr="00257142">
        <w:tc>
          <w:tcPr>
            <w:tcW w:w="2006" w:type="dxa"/>
            <w:shd w:val="clear" w:color="auto" w:fill="548DD4" w:themeFill="text2" w:themeFillTint="99"/>
          </w:tcPr>
          <w:p w:rsidR="00A314C9" w:rsidRPr="009A02CB" w:rsidRDefault="00A314C9" w:rsidP="00C10750">
            <w:pPr>
              <w:rPr>
                <w:rFonts w:cs="Arial"/>
                <w:b/>
                <w:sz w:val="22"/>
              </w:rPr>
            </w:pPr>
          </w:p>
        </w:tc>
        <w:tc>
          <w:tcPr>
            <w:tcW w:w="1587" w:type="dxa"/>
            <w:shd w:val="clear" w:color="auto" w:fill="548DD4" w:themeFill="text2" w:themeFillTint="99"/>
          </w:tcPr>
          <w:p w:rsidR="00A314C9" w:rsidRPr="009A02CB" w:rsidRDefault="003677F2" w:rsidP="004B20D8">
            <w:pPr>
              <w:rPr>
                <w:rFonts w:cs="Arial"/>
                <w:b/>
                <w:sz w:val="22"/>
              </w:rPr>
            </w:pPr>
            <w:r w:rsidRPr="009A02CB">
              <w:rPr>
                <w:rFonts w:cs="Arial"/>
                <w:b/>
                <w:sz w:val="22"/>
              </w:rPr>
              <w:t>Generated</w:t>
            </w:r>
          </w:p>
        </w:tc>
        <w:tc>
          <w:tcPr>
            <w:tcW w:w="1617" w:type="dxa"/>
            <w:shd w:val="clear" w:color="auto" w:fill="548DD4" w:themeFill="text2" w:themeFillTint="99"/>
          </w:tcPr>
          <w:p w:rsidR="00A314C9" w:rsidRPr="009A02CB" w:rsidRDefault="004A77C5" w:rsidP="00C10750">
            <w:pPr>
              <w:rPr>
                <w:rFonts w:cs="Arial"/>
                <w:b/>
                <w:sz w:val="22"/>
              </w:rPr>
            </w:pPr>
            <w:r w:rsidRPr="009A02CB">
              <w:rPr>
                <w:rFonts w:cs="Arial"/>
                <w:b/>
                <w:sz w:val="22"/>
              </w:rPr>
              <w:t>Avoidance</w:t>
            </w:r>
          </w:p>
        </w:tc>
        <w:tc>
          <w:tcPr>
            <w:tcW w:w="3312" w:type="dxa"/>
            <w:shd w:val="clear" w:color="auto" w:fill="548DD4" w:themeFill="text2" w:themeFillTint="99"/>
          </w:tcPr>
          <w:p w:rsidR="00A314C9" w:rsidRPr="009A02CB" w:rsidRDefault="001878F4" w:rsidP="00C10750">
            <w:pPr>
              <w:rPr>
                <w:rFonts w:cs="Arial"/>
                <w:b/>
                <w:sz w:val="22"/>
              </w:rPr>
            </w:pPr>
            <w:r w:rsidRPr="009A02CB">
              <w:rPr>
                <w:rFonts w:cs="Arial"/>
                <w:b/>
                <w:sz w:val="22"/>
              </w:rPr>
              <w:t>Comment</w:t>
            </w:r>
          </w:p>
        </w:tc>
      </w:tr>
      <w:tr w:rsidR="00832739" w:rsidRPr="009A02CB" w:rsidTr="00257142">
        <w:tc>
          <w:tcPr>
            <w:tcW w:w="2006" w:type="dxa"/>
          </w:tcPr>
          <w:p w:rsidR="00832739" w:rsidRPr="009A02CB" w:rsidRDefault="00832739" w:rsidP="00C10750">
            <w:pPr>
              <w:rPr>
                <w:rFonts w:cs="Arial"/>
                <w:sz w:val="22"/>
              </w:rPr>
            </w:pPr>
          </w:p>
        </w:tc>
        <w:tc>
          <w:tcPr>
            <w:tcW w:w="1587" w:type="dxa"/>
          </w:tcPr>
          <w:p w:rsidR="00832739" w:rsidRPr="009A02CB" w:rsidRDefault="00832739" w:rsidP="00694F2E">
            <w:pPr>
              <w:jc w:val="center"/>
              <w:rPr>
                <w:rFonts w:cs="Arial"/>
                <w:sz w:val="22"/>
              </w:rPr>
            </w:pPr>
            <w:r w:rsidRPr="009A02CB">
              <w:rPr>
                <w:rFonts w:cs="Arial"/>
                <w:sz w:val="22"/>
              </w:rPr>
              <w:t>£</w:t>
            </w:r>
          </w:p>
        </w:tc>
        <w:tc>
          <w:tcPr>
            <w:tcW w:w="1617" w:type="dxa"/>
          </w:tcPr>
          <w:p w:rsidR="00832739" w:rsidRPr="009A02CB" w:rsidRDefault="00832739" w:rsidP="00694F2E">
            <w:pPr>
              <w:jc w:val="center"/>
              <w:rPr>
                <w:rFonts w:cs="Arial"/>
                <w:sz w:val="22"/>
              </w:rPr>
            </w:pPr>
            <w:r w:rsidRPr="009A02CB">
              <w:rPr>
                <w:rFonts w:cs="Arial"/>
                <w:sz w:val="22"/>
              </w:rPr>
              <w:t>£</w:t>
            </w:r>
          </w:p>
        </w:tc>
        <w:tc>
          <w:tcPr>
            <w:tcW w:w="3312" w:type="dxa"/>
          </w:tcPr>
          <w:p w:rsidR="00832739" w:rsidRPr="009A02CB" w:rsidRDefault="00832739" w:rsidP="00C10750">
            <w:pPr>
              <w:rPr>
                <w:rFonts w:cs="Arial"/>
                <w:sz w:val="22"/>
              </w:rPr>
            </w:pPr>
          </w:p>
        </w:tc>
      </w:tr>
      <w:tr w:rsidR="00A314C9" w:rsidRPr="009A02CB" w:rsidTr="00257142">
        <w:tc>
          <w:tcPr>
            <w:tcW w:w="2006" w:type="dxa"/>
          </w:tcPr>
          <w:p w:rsidR="00A314C9" w:rsidRPr="009A02CB" w:rsidRDefault="001878F4" w:rsidP="00C10750">
            <w:pPr>
              <w:rPr>
                <w:rFonts w:cs="Arial"/>
                <w:sz w:val="22"/>
              </w:rPr>
            </w:pPr>
            <w:r w:rsidRPr="009A02CB">
              <w:rPr>
                <w:rFonts w:cs="Arial"/>
                <w:sz w:val="22"/>
              </w:rPr>
              <w:t>Council Tax Reduction Scheme</w:t>
            </w:r>
          </w:p>
        </w:tc>
        <w:tc>
          <w:tcPr>
            <w:tcW w:w="1587" w:type="dxa"/>
          </w:tcPr>
          <w:p w:rsidR="00A314C9" w:rsidRPr="009A02CB" w:rsidRDefault="0060790A" w:rsidP="00302C1D">
            <w:pPr>
              <w:jc w:val="center"/>
              <w:rPr>
                <w:rFonts w:cs="Arial"/>
                <w:sz w:val="22"/>
              </w:rPr>
            </w:pPr>
            <w:r w:rsidRPr="009A02CB">
              <w:rPr>
                <w:rFonts w:cs="Arial"/>
                <w:sz w:val="22"/>
              </w:rPr>
              <w:t>2</w:t>
            </w:r>
            <w:r w:rsidR="00F83EE5" w:rsidRPr="009A02CB">
              <w:rPr>
                <w:rFonts w:cs="Arial"/>
                <w:sz w:val="22"/>
              </w:rPr>
              <w:t>,9</w:t>
            </w:r>
            <w:r w:rsidRPr="009A02CB">
              <w:rPr>
                <w:rFonts w:cs="Arial"/>
                <w:sz w:val="22"/>
              </w:rPr>
              <w:t>56</w:t>
            </w:r>
          </w:p>
        </w:tc>
        <w:tc>
          <w:tcPr>
            <w:tcW w:w="1617" w:type="dxa"/>
          </w:tcPr>
          <w:p w:rsidR="00A314C9" w:rsidRPr="009A02CB" w:rsidRDefault="0060790A" w:rsidP="00302C1D">
            <w:pPr>
              <w:jc w:val="center"/>
              <w:rPr>
                <w:rFonts w:cs="Arial"/>
                <w:sz w:val="22"/>
              </w:rPr>
            </w:pPr>
            <w:r w:rsidRPr="009A02CB">
              <w:rPr>
                <w:rFonts w:cs="Arial"/>
                <w:sz w:val="22"/>
              </w:rPr>
              <w:t>7,137</w:t>
            </w:r>
          </w:p>
        </w:tc>
        <w:tc>
          <w:tcPr>
            <w:tcW w:w="3312" w:type="dxa"/>
          </w:tcPr>
          <w:p w:rsidR="00A314C9" w:rsidRPr="009A02CB" w:rsidRDefault="0078570D" w:rsidP="000C4BAF">
            <w:pPr>
              <w:rPr>
                <w:rFonts w:cs="Arial"/>
                <w:sz w:val="22"/>
              </w:rPr>
            </w:pPr>
            <w:r w:rsidRPr="009A02CB">
              <w:rPr>
                <w:rFonts w:cs="Arial"/>
                <w:sz w:val="22"/>
              </w:rPr>
              <w:t xml:space="preserve">Achieved through investigation of </w:t>
            </w:r>
            <w:r w:rsidR="000C4BAF" w:rsidRPr="009A02CB">
              <w:rPr>
                <w:rFonts w:cs="Arial"/>
                <w:sz w:val="22"/>
              </w:rPr>
              <w:t>Council Tax Reduction Scheme cases.</w:t>
            </w:r>
            <w:r w:rsidR="00FE7AC5" w:rsidRPr="009A02CB">
              <w:rPr>
                <w:rFonts w:cs="Arial"/>
                <w:sz w:val="22"/>
              </w:rPr>
              <w:t xml:space="preserve"> </w:t>
            </w:r>
            <w:r w:rsidR="00775048" w:rsidRPr="009A02CB">
              <w:rPr>
                <w:rFonts w:cs="Arial"/>
                <w:sz w:val="22"/>
              </w:rPr>
              <w:t>The loss avoided is</w:t>
            </w:r>
            <w:r w:rsidR="00FE7AC5" w:rsidRPr="009A02CB">
              <w:rPr>
                <w:rFonts w:cs="Arial"/>
                <w:sz w:val="22"/>
              </w:rPr>
              <w:t xml:space="preserve"> based on a </w:t>
            </w:r>
            <w:r w:rsidR="000C4BAF" w:rsidRPr="009A02CB">
              <w:rPr>
                <w:rFonts w:cs="Arial"/>
                <w:sz w:val="22"/>
              </w:rPr>
              <w:t>regionalised calculation of 104 weeks</w:t>
            </w:r>
            <w:r w:rsidR="00FE7AC5" w:rsidRPr="009A02CB">
              <w:rPr>
                <w:rFonts w:cs="Arial"/>
                <w:sz w:val="22"/>
              </w:rPr>
              <w:t xml:space="preserve"> entitlement</w:t>
            </w:r>
            <w:r w:rsidR="000C4BAF" w:rsidRPr="009A02CB">
              <w:rPr>
                <w:rFonts w:cs="Arial"/>
                <w:sz w:val="22"/>
              </w:rPr>
              <w:t xml:space="preserve">, </w:t>
            </w:r>
            <w:r w:rsidR="00FE7AC5" w:rsidRPr="009A02CB">
              <w:rPr>
                <w:rFonts w:cs="Arial"/>
                <w:sz w:val="22"/>
              </w:rPr>
              <w:t xml:space="preserve"> which is the average number of weeks a claim </w:t>
            </w:r>
            <w:r w:rsidR="00664156" w:rsidRPr="009A02CB">
              <w:rPr>
                <w:rFonts w:cs="Arial"/>
                <w:sz w:val="22"/>
              </w:rPr>
              <w:t>is likely to</w:t>
            </w:r>
            <w:r w:rsidR="00FE7AC5" w:rsidRPr="009A02CB">
              <w:rPr>
                <w:rFonts w:cs="Arial"/>
                <w:sz w:val="22"/>
              </w:rPr>
              <w:t xml:space="preserve"> have continued without intervention</w:t>
            </w:r>
          </w:p>
        </w:tc>
      </w:tr>
      <w:tr w:rsidR="00C81994" w:rsidRPr="009A02CB" w:rsidTr="00257142">
        <w:tc>
          <w:tcPr>
            <w:tcW w:w="2006" w:type="dxa"/>
          </w:tcPr>
          <w:p w:rsidR="00C81994" w:rsidRPr="009A02CB" w:rsidRDefault="00C81994" w:rsidP="00C10750">
            <w:pPr>
              <w:rPr>
                <w:rFonts w:cs="Arial"/>
                <w:sz w:val="22"/>
              </w:rPr>
            </w:pPr>
            <w:r w:rsidRPr="009A02CB">
              <w:rPr>
                <w:rFonts w:cs="Arial"/>
                <w:sz w:val="22"/>
              </w:rPr>
              <w:t>Right to Buy</w:t>
            </w:r>
          </w:p>
          <w:p w:rsidR="00C81994" w:rsidRPr="009A02CB" w:rsidRDefault="00C81994" w:rsidP="00C10750">
            <w:pPr>
              <w:rPr>
                <w:rFonts w:cs="Arial"/>
                <w:sz w:val="22"/>
              </w:rPr>
            </w:pPr>
          </w:p>
          <w:p w:rsidR="00C81994" w:rsidRPr="009A02CB" w:rsidRDefault="00C81994" w:rsidP="00C10750">
            <w:pPr>
              <w:rPr>
                <w:rFonts w:cs="Arial"/>
                <w:sz w:val="22"/>
              </w:rPr>
            </w:pPr>
          </w:p>
          <w:p w:rsidR="00C81994" w:rsidRPr="009A02CB" w:rsidRDefault="00C81994" w:rsidP="00C10750">
            <w:pPr>
              <w:rPr>
                <w:rFonts w:cs="Arial"/>
                <w:sz w:val="22"/>
              </w:rPr>
            </w:pPr>
          </w:p>
        </w:tc>
        <w:tc>
          <w:tcPr>
            <w:tcW w:w="1587" w:type="dxa"/>
          </w:tcPr>
          <w:p w:rsidR="00C81994" w:rsidRPr="009A02CB" w:rsidRDefault="00C81994" w:rsidP="00302C1D">
            <w:pPr>
              <w:jc w:val="center"/>
              <w:rPr>
                <w:rFonts w:cs="Arial"/>
                <w:sz w:val="22"/>
              </w:rPr>
            </w:pPr>
          </w:p>
        </w:tc>
        <w:tc>
          <w:tcPr>
            <w:tcW w:w="1617" w:type="dxa"/>
          </w:tcPr>
          <w:p w:rsidR="00C81994" w:rsidRPr="009A02CB" w:rsidRDefault="000C4BAF" w:rsidP="00302C1D">
            <w:pPr>
              <w:jc w:val="center"/>
              <w:rPr>
                <w:rFonts w:cs="Arial"/>
                <w:sz w:val="22"/>
              </w:rPr>
            </w:pPr>
            <w:r w:rsidRPr="009A02CB">
              <w:rPr>
                <w:rFonts w:cs="Arial"/>
                <w:sz w:val="22"/>
              </w:rPr>
              <w:t>1,090,600</w:t>
            </w:r>
          </w:p>
        </w:tc>
        <w:tc>
          <w:tcPr>
            <w:tcW w:w="3312" w:type="dxa"/>
          </w:tcPr>
          <w:p w:rsidR="00C81994" w:rsidRPr="009A02CB" w:rsidRDefault="000C4BAF" w:rsidP="000C4BAF">
            <w:pPr>
              <w:rPr>
                <w:rFonts w:cs="Arial"/>
                <w:sz w:val="22"/>
              </w:rPr>
            </w:pPr>
            <w:r w:rsidRPr="009A02CB">
              <w:rPr>
                <w:rFonts w:cs="Arial"/>
                <w:sz w:val="22"/>
              </w:rPr>
              <w:t>14</w:t>
            </w:r>
            <w:r w:rsidR="00C81994" w:rsidRPr="009A02CB">
              <w:rPr>
                <w:rFonts w:cs="Arial"/>
                <w:sz w:val="22"/>
              </w:rPr>
              <w:t xml:space="preserve"> R</w:t>
            </w:r>
            <w:r w:rsidR="007830B1" w:rsidRPr="009A02CB">
              <w:rPr>
                <w:rFonts w:cs="Arial"/>
                <w:sz w:val="22"/>
              </w:rPr>
              <w:t xml:space="preserve">ight </w:t>
            </w:r>
            <w:r w:rsidR="00C81994" w:rsidRPr="009A02CB">
              <w:rPr>
                <w:rFonts w:cs="Arial"/>
                <w:sz w:val="22"/>
              </w:rPr>
              <w:t>T</w:t>
            </w:r>
            <w:r w:rsidR="007830B1" w:rsidRPr="009A02CB">
              <w:rPr>
                <w:rFonts w:cs="Arial"/>
                <w:sz w:val="22"/>
              </w:rPr>
              <w:t xml:space="preserve">o </w:t>
            </w:r>
            <w:r w:rsidR="00C81994" w:rsidRPr="009A02CB">
              <w:rPr>
                <w:rFonts w:cs="Arial"/>
                <w:sz w:val="22"/>
              </w:rPr>
              <w:t>B</w:t>
            </w:r>
            <w:r w:rsidR="007830B1" w:rsidRPr="009A02CB">
              <w:rPr>
                <w:rFonts w:cs="Arial"/>
                <w:sz w:val="22"/>
              </w:rPr>
              <w:t>uy applications</w:t>
            </w:r>
            <w:r w:rsidR="00C81994" w:rsidRPr="009A02CB">
              <w:rPr>
                <w:rFonts w:cs="Arial"/>
                <w:sz w:val="22"/>
              </w:rPr>
              <w:t xml:space="preserve"> withdrawn following </w:t>
            </w:r>
            <w:r w:rsidR="007830B1" w:rsidRPr="009A02CB">
              <w:rPr>
                <w:rFonts w:cs="Arial"/>
                <w:sz w:val="22"/>
              </w:rPr>
              <w:t>intervention</w:t>
            </w:r>
            <w:r w:rsidR="00B01F9E" w:rsidRPr="009A02CB">
              <w:rPr>
                <w:rFonts w:cs="Arial"/>
                <w:sz w:val="22"/>
              </w:rPr>
              <w:t xml:space="preserve"> / investigation. </w:t>
            </w:r>
            <w:r w:rsidR="002313E2" w:rsidRPr="009A02CB">
              <w:rPr>
                <w:rFonts w:cs="Arial"/>
                <w:sz w:val="22"/>
              </w:rPr>
              <w:t xml:space="preserve"> </w:t>
            </w:r>
            <w:r w:rsidRPr="009A02CB">
              <w:rPr>
                <w:rFonts w:cs="Arial"/>
                <w:sz w:val="22"/>
              </w:rPr>
              <w:t>14</w:t>
            </w:r>
            <w:r w:rsidR="00D11169" w:rsidRPr="009A02CB">
              <w:rPr>
                <w:rFonts w:cs="Arial"/>
                <w:sz w:val="22"/>
              </w:rPr>
              <w:t xml:space="preserve"> x £77,900 (max discount)</w:t>
            </w:r>
          </w:p>
        </w:tc>
      </w:tr>
      <w:tr w:rsidR="00A314C9" w:rsidRPr="009A02CB" w:rsidTr="00257142">
        <w:tc>
          <w:tcPr>
            <w:tcW w:w="2006" w:type="dxa"/>
          </w:tcPr>
          <w:p w:rsidR="00A314C9" w:rsidRPr="009A02CB" w:rsidRDefault="0078570D" w:rsidP="00C10750">
            <w:pPr>
              <w:rPr>
                <w:rFonts w:cs="Arial"/>
                <w:sz w:val="22"/>
              </w:rPr>
            </w:pPr>
            <w:r w:rsidRPr="009A02CB">
              <w:rPr>
                <w:rFonts w:cs="Arial"/>
                <w:sz w:val="22"/>
              </w:rPr>
              <w:t>Council Tax Discount / Exemption adjustments</w:t>
            </w:r>
          </w:p>
        </w:tc>
        <w:tc>
          <w:tcPr>
            <w:tcW w:w="1587" w:type="dxa"/>
          </w:tcPr>
          <w:p w:rsidR="00A314C9" w:rsidRPr="009A02CB" w:rsidRDefault="000C4BAF" w:rsidP="00302C1D">
            <w:pPr>
              <w:jc w:val="center"/>
              <w:rPr>
                <w:rFonts w:cs="Arial"/>
                <w:sz w:val="22"/>
              </w:rPr>
            </w:pPr>
            <w:r w:rsidRPr="009A02CB">
              <w:rPr>
                <w:rFonts w:cs="Arial"/>
                <w:sz w:val="22"/>
              </w:rPr>
              <w:t>36,838</w:t>
            </w:r>
          </w:p>
        </w:tc>
        <w:tc>
          <w:tcPr>
            <w:tcW w:w="1617" w:type="dxa"/>
          </w:tcPr>
          <w:p w:rsidR="00A314C9" w:rsidRPr="009A02CB" w:rsidRDefault="00A314C9" w:rsidP="00302C1D">
            <w:pPr>
              <w:jc w:val="center"/>
              <w:rPr>
                <w:rFonts w:cs="Arial"/>
                <w:sz w:val="22"/>
              </w:rPr>
            </w:pPr>
          </w:p>
        </w:tc>
        <w:tc>
          <w:tcPr>
            <w:tcW w:w="3312" w:type="dxa"/>
          </w:tcPr>
          <w:p w:rsidR="00A314C9" w:rsidRPr="009A02CB" w:rsidRDefault="000C4BAF" w:rsidP="000C4BAF">
            <w:pPr>
              <w:rPr>
                <w:rFonts w:cs="Arial"/>
                <w:sz w:val="22"/>
              </w:rPr>
            </w:pPr>
            <w:r w:rsidRPr="009A02CB">
              <w:rPr>
                <w:rFonts w:cs="Arial"/>
                <w:sz w:val="22"/>
              </w:rPr>
              <w:t xml:space="preserve">Cases where data matching reviews </w:t>
            </w:r>
            <w:r w:rsidR="009E17A8" w:rsidRPr="009A02CB">
              <w:rPr>
                <w:rFonts w:cs="Arial"/>
                <w:sz w:val="22"/>
              </w:rPr>
              <w:t xml:space="preserve">(using Investigation Team Data Warehouse) </w:t>
            </w:r>
            <w:r w:rsidRPr="009A02CB">
              <w:rPr>
                <w:rFonts w:cs="Arial"/>
                <w:sz w:val="22"/>
              </w:rPr>
              <w:t>and investigation activity</w:t>
            </w:r>
            <w:r w:rsidR="00340B34" w:rsidRPr="009A02CB">
              <w:rPr>
                <w:rFonts w:cs="Arial"/>
                <w:sz w:val="22"/>
              </w:rPr>
              <w:t xml:space="preserve"> </w:t>
            </w:r>
            <w:r w:rsidR="0078570D" w:rsidRPr="009A02CB">
              <w:rPr>
                <w:rFonts w:cs="Arial"/>
                <w:sz w:val="22"/>
              </w:rPr>
              <w:t>determined that a discount or exemption</w:t>
            </w:r>
            <w:r w:rsidR="00CF67F4" w:rsidRPr="009A02CB">
              <w:rPr>
                <w:rFonts w:cs="Arial"/>
                <w:sz w:val="22"/>
              </w:rPr>
              <w:t xml:space="preserve"> </w:t>
            </w:r>
            <w:r w:rsidR="00B115D7" w:rsidRPr="009A02CB">
              <w:rPr>
                <w:rFonts w:cs="Arial"/>
                <w:sz w:val="22"/>
              </w:rPr>
              <w:t>wa</w:t>
            </w:r>
            <w:r w:rsidR="00CF67F4" w:rsidRPr="009A02CB">
              <w:rPr>
                <w:rFonts w:cs="Arial"/>
                <w:sz w:val="22"/>
              </w:rPr>
              <w:t>s awarded incorre</w:t>
            </w:r>
            <w:r w:rsidR="00DB5AE5" w:rsidRPr="009A02CB">
              <w:rPr>
                <w:rFonts w:cs="Arial"/>
                <w:sz w:val="22"/>
              </w:rPr>
              <w:t>ctly due to customer misrepresentation</w:t>
            </w:r>
            <w:r w:rsidRPr="009A02CB">
              <w:rPr>
                <w:rFonts w:cs="Arial"/>
                <w:sz w:val="22"/>
              </w:rPr>
              <w:t xml:space="preserve"> or negligence</w:t>
            </w:r>
          </w:p>
        </w:tc>
      </w:tr>
      <w:tr w:rsidR="00A314C9" w:rsidRPr="009A02CB" w:rsidTr="00257142">
        <w:tc>
          <w:tcPr>
            <w:tcW w:w="2006" w:type="dxa"/>
          </w:tcPr>
          <w:p w:rsidR="00A314C9" w:rsidRPr="009A02CB" w:rsidRDefault="0078570D" w:rsidP="0078570D">
            <w:pPr>
              <w:rPr>
                <w:rFonts w:cs="Arial"/>
                <w:sz w:val="22"/>
              </w:rPr>
            </w:pPr>
            <w:r w:rsidRPr="009A02CB">
              <w:rPr>
                <w:rFonts w:cs="Arial"/>
                <w:sz w:val="22"/>
              </w:rPr>
              <w:t>Non Domestic Rates</w:t>
            </w:r>
          </w:p>
        </w:tc>
        <w:tc>
          <w:tcPr>
            <w:tcW w:w="1587" w:type="dxa"/>
          </w:tcPr>
          <w:p w:rsidR="00A314C9" w:rsidRPr="009A02CB" w:rsidRDefault="00F727F2" w:rsidP="00302C1D">
            <w:pPr>
              <w:jc w:val="center"/>
              <w:rPr>
                <w:rFonts w:cs="Arial"/>
                <w:sz w:val="22"/>
              </w:rPr>
            </w:pPr>
            <w:r w:rsidRPr="009A02CB">
              <w:rPr>
                <w:rFonts w:cs="Arial"/>
                <w:sz w:val="22"/>
              </w:rPr>
              <w:t>4</w:t>
            </w:r>
            <w:r w:rsidR="000C4BAF" w:rsidRPr="009A02CB">
              <w:rPr>
                <w:rFonts w:cs="Arial"/>
                <w:sz w:val="22"/>
              </w:rPr>
              <w:t>40</w:t>
            </w:r>
            <w:r w:rsidRPr="009A02CB">
              <w:rPr>
                <w:rFonts w:cs="Arial"/>
                <w:sz w:val="22"/>
              </w:rPr>
              <w:t>,</w:t>
            </w:r>
            <w:r w:rsidR="000C4BAF" w:rsidRPr="009A02CB">
              <w:rPr>
                <w:rFonts w:cs="Arial"/>
                <w:sz w:val="22"/>
              </w:rPr>
              <w:t>411</w:t>
            </w:r>
          </w:p>
        </w:tc>
        <w:tc>
          <w:tcPr>
            <w:tcW w:w="1617" w:type="dxa"/>
          </w:tcPr>
          <w:p w:rsidR="00A314C9" w:rsidRPr="009A02CB" w:rsidRDefault="00A314C9" w:rsidP="00302C1D">
            <w:pPr>
              <w:jc w:val="center"/>
              <w:rPr>
                <w:rFonts w:cs="Arial"/>
                <w:sz w:val="22"/>
              </w:rPr>
            </w:pPr>
          </w:p>
        </w:tc>
        <w:tc>
          <w:tcPr>
            <w:tcW w:w="3312" w:type="dxa"/>
          </w:tcPr>
          <w:p w:rsidR="00A314C9" w:rsidRPr="009A02CB" w:rsidRDefault="000C4BAF" w:rsidP="002313E2">
            <w:pPr>
              <w:rPr>
                <w:rFonts w:cs="Arial"/>
                <w:sz w:val="22"/>
              </w:rPr>
            </w:pPr>
            <w:r w:rsidRPr="009A02CB">
              <w:rPr>
                <w:rFonts w:cs="Arial"/>
                <w:sz w:val="22"/>
              </w:rPr>
              <w:t>3</w:t>
            </w:r>
            <w:r w:rsidR="002313E2" w:rsidRPr="009A02CB">
              <w:rPr>
                <w:rFonts w:cs="Arial"/>
                <w:sz w:val="22"/>
              </w:rPr>
              <w:t xml:space="preserve"> </w:t>
            </w:r>
            <w:r w:rsidR="005162E8" w:rsidRPr="009A02CB">
              <w:rPr>
                <w:rFonts w:cs="Arial"/>
                <w:sz w:val="22"/>
              </w:rPr>
              <w:t>accounts where i</w:t>
            </w:r>
            <w:r w:rsidR="0078570D" w:rsidRPr="009A02CB">
              <w:rPr>
                <w:rFonts w:cs="Arial"/>
                <w:sz w:val="22"/>
              </w:rPr>
              <w:t>nvestigation work has resulted in the discovery of unregistered business premises and the identification of reductions where no entitlement exists</w:t>
            </w:r>
          </w:p>
        </w:tc>
      </w:tr>
      <w:tr w:rsidR="00A314C9" w:rsidRPr="009A02CB" w:rsidTr="00257142">
        <w:tc>
          <w:tcPr>
            <w:tcW w:w="2006" w:type="dxa"/>
          </w:tcPr>
          <w:p w:rsidR="00A314C9" w:rsidRPr="009A02CB" w:rsidRDefault="0078570D" w:rsidP="00C10750">
            <w:pPr>
              <w:rPr>
                <w:rFonts w:cs="Arial"/>
                <w:sz w:val="22"/>
              </w:rPr>
            </w:pPr>
            <w:r w:rsidRPr="009A02CB">
              <w:rPr>
                <w:rFonts w:cs="Arial"/>
                <w:sz w:val="22"/>
              </w:rPr>
              <w:t>Properties Recovered</w:t>
            </w:r>
          </w:p>
        </w:tc>
        <w:tc>
          <w:tcPr>
            <w:tcW w:w="1587" w:type="dxa"/>
          </w:tcPr>
          <w:p w:rsidR="00A314C9" w:rsidRPr="009A02CB" w:rsidRDefault="00A314C9" w:rsidP="00302C1D">
            <w:pPr>
              <w:jc w:val="center"/>
              <w:rPr>
                <w:rFonts w:cs="Arial"/>
                <w:sz w:val="22"/>
              </w:rPr>
            </w:pPr>
          </w:p>
        </w:tc>
        <w:tc>
          <w:tcPr>
            <w:tcW w:w="1617" w:type="dxa"/>
          </w:tcPr>
          <w:p w:rsidR="00A314C9" w:rsidRPr="009A02CB" w:rsidRDefault="006E266D" w:rsidP="00302C1D">
            <w:pPr>
              <w:jc w:val="center"/>
              <w:rPr>
                <w:rFonts w:cs="Arial"/>
                <w:sz w:val="22"/>
              </w:rPr>
            </w:pPr>
            <w:r w:rsidRPr="009A02CB">
              <w:rPr>
                <w:rFonts w:cs="Arial"/>
                <w:sz w:val="22"/>
              </w:rPr>
              <w:t>16</w:t>
            </w:r>
            <w:r w:rsidR="00664156" w:rsidRPr="009A02CB">
              <w:rPr>
                <w:rFonts w:cs="Arial"/>
                <w:sz w:val="22"/>
              </w:rPr>
              <w:t>8</w:t>
            </w:r>
            <w:r w:rsidR="0078570D" w:rsidRPr="009A02CB">
              <w:rPr>
                <w:rFonts w:cs="Arial"/>
                <w:sz w:val="22"/>
              </w:rPr>
              <w:t>,000</w:t>
            </w:r>
          </w:p>
        </w:tc>
        <w:tc>
          <w:tcPr>
            <w:tcW w:w="3312" w:type="dxa"/>
          </w:tcPr>
          <w:p w:rsidR="00A314C9" w:rsidRPr="009A02CB" w:rsidRDefault="0078570D" w:rsidP="000C4BAF">
            <w:pPr>
              <w:rPr>
                <w:rFonts w:cs="Arial"/>
                <w:sz w:val="22"/>
              </w:rPr>
            </w:pPr>
            <w:r w:rsidRPr="009A02CB">
              <w:rPr>
                <w:rFonts w:cs="Arial"/>
                <w:sz w:val="22"/>
              </w:rPr>
              <w:t xml:space="preserve">The cost of keeping a family in temporary accommodation </w:t>
            </w:r>
            <w:r w:rsidR="00AB4D1C" w:rsidRPr="009A02CB">
              <w:rPr>
                <w:rFonts w:cs="Arial"/>
                <w:sz w:val="22"/>
              </w:rPr>
              <w:t>for one year as</w:t>
            </w:r>
            <w:r w:rsidRPr="009A02CB">
              <w:rPr>
                <w:rFonts w:cs="Arial"/>
                <w:sz w:val="22"/>
              </w:rPr>
              <w:t xml:space="preserve"> determined by </w:t>
            </w:r>
            <w:r w:rsidR="000C4BAF" w:rsidRPr="009A02CB">
              <w:rPr>
                <w:rFonts w:cs="Arial"/>
                <w:sz w:val="22"/>
              </w:rPr>
              <w:t>a localised calculation</w:t>
            </w:r>
            <w:r w:rsidR="00AB4D1C" w:rsidRPr="009A02CB">
              <w:rPr>
                <w:rFonts w:cs="Arial"/>
                <w:sz w:val="22"/>
              </w:rPr>
              <w:t xml:space="preserve"> - </w:t>
            </w:r>
            <w:r w:rsidRPr="009A02CB">
              <w:rPr>
                <w:rFonts w:cs="Arial"/>
                <w:sz w:val="22"/>
              </w:rPr>
              <w:t>£</w:t>
            </w:r>
            <w:r w:rsidR="000C4BAF" w:rsidRPr="009A02CB">
              <w:rPr>
                <w:rFonts w:cs="Arial"/>
                <w:sz w:val="22"/>
              </w:rPr>
              <w:t>24</w:t>
            </w:r>
            <w:r w:rsidRPr="009A02CB">
              <w:rPr>
                <w:rFonts w:cs="Arial"/>
                <w:sz w:val="22"/>
              </w:rPr>
              <w:t>,000</w:t>
            </w:r>
            <w:r w:rsidR="00FE7AC5" w:rsidRPr="009A02CB">
              <w:rPr>
                <w:rFonts w:cs="Arial"/>
                <w:sz w:val="22"/>
              </w:rPr>
              <w:t xml:space="preserve"> per property for each of the </w:t>
            </w:r>
            <w:r w:rsidR="000C4BAF" w:rsidRPr="009A02CB">
              <w:rPr>
                <w:rFonts w:cs="Arial"/>
                <w:sz w:val="22"/>
              </w:rPr>
              <w:t>7</w:t>
            </w:r>
            <w:r w:rsidR="00FE7AC5" w:rsidRPr="009A02CB">
              <w:rPr>
                <w:rFonts w:cs="Arial"/>
                <w:sz w:val="22"/>
              </w:rPr>
              <w:t xml:space="preserve"> social </w:t>
            </w:r>
            <w:r w:rsidR="000C4BAF" w:rsidRPr="009A02CB">
              <w:rPr>
                <w:rFonts w:cs="Arial"/>
                <w:sz w:val="22"/>
              </w:rPr>
              <w:t xml:space="preserve">housing </w:t>
            </w:r>
            <w:r w:rsidR="00B01F9E" w:rsidRPr="009A02CB">
              <w:rPr>
                <w:rFonts w:cs="Arial"/>
                <w:sz w:val="22"/>
              </w:rPr>
              <w:t>properties</w:t>
            </w:r>
            <w:r w:rsidR="00FE7AC5" w:rsidRPr="009A02CB">
              <w:rPr>
                <w:rFonts w:cs="Arial"/>
                <w:sz w:val="22"/>
              </w:rPr>
              <w:t xml:space="preserve"> recovered</w:t>
            </w:r>
          </w:p>
        </w:tc>
      </w:tr>
      <w:tr w:rsidR="00884DB5" w:rsidRPr="009A02CB" w:rsidTr="00257142">
        <w:tc>
          <w:tcPr>
            <w:tcW w:w="2006" w:type="dxa"/>
          </w:tcPr>
          <w:p w:rsidR="00884DB5" w:rsidRPr="009A02CB" w:rsidRDefault="00884DB5" w:rsidP="00AB4D1C">
            <w:pPr>
              <w:rPr>
                <w:rFonts w:cs="Arial"/>
                <w:sz w:val="22"/>
              </w:rPr>
            </w:pPr>
            <w:r w:rsidRPr="009A02CB">
              <w:rPr>
                <w:rFonts w:cs="Arial"/>
                <w:sz w:val="22"/>
              </w:rPr>
              <w:t>Administrative Penalty income</w:t>
            </w:r>
          </w:p>
        </w:tc>
        <w:tc>
          <w:tcPr>
            <w:tcW w:w="1587" w:type="dxa"/>
          </w:tcPr>
          <w:p w:rsidR="00884DB5" w:rsidRPr="009A02CB" w:rsidRDefault="006E266D" w:rsidP="00302C1D">
            <w:pPr>
              <w:jc w:val="center"/>
              <w:rPr>
                <w:rFonts w:cs="Arial"/>
                <w:sz w:val="22"/>
              </w:rPr>
            </w:pPr>
            <w:r w:rsidRPr="009A02CB">
              <w:rPr>
                <w:rFonts w:cs="Arial"/>
                <w:sz w:val="22"/>
              </w:rPr>
              <w:t>747</w:t>
            </w:r>
          </w:p>
        </w:tc>
        <w:tc>
          <w:tcPr>
            <w:tcW w:w="1617" w:type="dxa"/>
          </w:tcPr>
          <w:p w:rsidR="00884DB5" w:rsidRPr="009A02CB" w:rsidRDefault="00884DB5" w:rsidP="00302C1D">
            <w:pPr>
              <w:jc w:val="center"/>
              <w:rPr>
                <w:rFonts w:cs="Arial"/>
                <w:sz w:val="22"/>
              </w:rPr>
            </w:pPr>
          </w:p>
        </w:tc>
        <w:tc>
          <w:tcPr>
            <w:tcW w:w="3312" w:type="dxa"/>
          </w:tcPr>
          <w:p w:rsidR="00302C1D" w:rsidRPr="009A02CB" w:rsidRDefault="00F6212A" w:rsidP="00AB4D1C">
            <w:pPr>
              <w:rPr>
                <w:rFonts w:cs="Arial"/>
                <w:sz w:val="22"/>
              </w:rPr>
            </w:pPr>
            <w:r w:rsidRPr="009A02CB">
              <w:rPr>
                <w:rFonts w:cs="Arial"/>
                <w:sz w:val="22"/>
              </w:rPr>
              <w:t xml:space="preserve">50% of the fraudulent </w:t>
            </w:r>
            <w:r w:rsidR="00B115D7" w:rsidRPr="009A02CB">
              <w:rPr>
                <w:rFonts w:cs="Arial"/>
                <w:sz w:val="22"/>
              </w:rPr>
              <w:t>overpayment of Council Tax Reduction Scheme Allow</w:t>
            </w:r>
            <w:r w:rsidR="006E266D" w:rsidRPr="009A02CB">
              <w:rPr>
                <w:rFonts w:cs="Arial"/>
                <w:sz w:val="22"/>
              </w:rPr>
              <w:t>ance. 2</w:t>
            </w:r>
            <w:r w:rsidR="00B115D7" w:rsidRPr="009A02CB">
              <w:rPr>
                <w:rFonts w:cs="Arial"/>
                <w:sz w:val="22"/>
              </w:rPr>
              <w:t xml:space="preserve"> case</w:t>
            </w:r>
            <w:r w:rsidR="006E266D" w:rsidRPr="009A02CB">
              <w:rPr>
                <w:rFonts w:cs="Arial"/>
                <w:sz w:val="22"/>
              </w:rPr>
              <w:t>s</w:t>
            </w:r>
            <w:r w:rsidR="00B115D7" w:rsidRPr="009A02CB">
              <w:rPr>
                <w:rFonts w:cs="Arial"/>
                <w:sz w:val="22"/>
              </w:rPr>
              <w:t>.</w:t>
            </w:r>
          </w:p>
        </w:tc>
      </w:tr>
      <w:tr w:rsidR="00FB70FE" w:rsidRPr="009A02CB" w:rsidTr="00257142">
        <w:tc>
          <w:tcPr>
            <w:tcW w:w="2006" w:type="dxa"/>
          </w:tcPr>
          <w:p w:rsidR="00FB70FE" w:rsidRPr="009A02CB" w:rsidRDefault="00302C1D" w:rsidP="00DE3B9E">
            <w:pPr>
              <w:rPr>
                <w:rFonts w:cs="Arial"/>
                <w:sz w:val="22"/>
              </w:rPr>
            </w:pPr>
            <w:r w:rsidRPr="009A02CB">
              <w:rPr>
                <w:rFonts w:cs="Arial"/>
                <w:sz w:val="22"/>
              </w:rPr>
              <w:t>Private Rented Sector D</w:t>
            </w:r>
            <w:r w:rsidR="00DE3B9E">
              <w:rPr>
                <w:rFonts w:cs="Arial"/>
                <w:sz w:val="22"/>
              </w:rPr>
              <w:t>eposits and Bonds</w:t>
            </w:r>
          </w:p>
        </w:tc>
        <w:tc>
          <w:tcPr>
            <w:tcW w:w="1587" w:type="dxa"/>
          </w:tcPr>
          <w:p w:rsidR="00FB70FE" w:rsidRPr="009A02CB" w:rsidRDefault="00302C1D" w:rsidP="00302C1D">
            <w:pPr>
              <w:jc w:val="center"/>
              <w:rPr>
                <w:rFonts w:cs="Arial"/>
                <w:sz w:val="22"/>
              </w:rPr>
            </w:pPr>
            <w:r w:rsidRPr="009A02CB">
              <w:rPr>
                <w:rFonts w:cs="Arial"/>
                <w:sz w:val="22"/>
              </w:rPr>
              <w:t>68,106</w:t>
            </w:r>
          </w:p>
          <w:p w:rsidR="009E17A8" w:rsidRPr="009A02CB" w:rsidRDefault="009E17A8" w:rsidP="00302C1D">
            <w:pPr>
              <w:jc w:val="center"/>
              <w:rPr>
                <w:rFonts w:cs="Arial"/>
                <w:sz w:val="22"/>
              </w:rPr>
            </w:pPr>
            <w:r w:rsidRPr="009A02CB">
              <w:rPr>
                <w:rFonts w:cs="Arial"/>
                <w:sz w:val="22"/>
              </w:rPr>
              <w:t>(Deposits)</w:t>
            </w:r>
          </w:p>
        </w:tc>
        <w:tc>
          <w:tcPr>
            <w:tcW w:w="1617" w:type="dxa"/>
          </w:tcPr>
          <w:p w:rsidR="00FB70FE" w:rsidRPr="009A02CB" w:rsidRDefault="00302C1D" w:rsidP="00302C1D">
            <w:pPr>
              <w:jc w:val="center"/>
              <w:rPr>
                <w:rFonts w:cs="Arial"/>
                <w:sz w:val="22"/>
              </w:rPr>
            </w:pPr>
            <w:r w:rsidRPr="009A02CB">
              <w:rPr>
                <w:rFonts w:cs="Arial"/>
                <w:sz w:val="22"/>
              </w:rPr>
              <w:t>42,242</w:t>
            </w:r>
          </w:p>
          <w:p w:rsidR="009E17A8" w:rsidRPr="009A02CB" w:rsidRDefault="009E17A8" w:rsidP="00302C1D">
            <w:pPr>
              <w:jc w:val="center"/>
              <w:rPr>
                <w:rFonts w:cs="Arial"/>
                <w:sz w:val="22"/>
              </w:rPr>
            </w:pPr>
            <w:r w:rsidRPr="009A02CB">
              <w:rPr>
                <w:rFonts w:cs="Arial"/>
                <w:sz w:val="22"/>
              </w:rPr>
              <w:t>(Bonds)</w:t>
            </w:r>
          </w:p>
        </w:tc>
        <w:tc>
          <w:tcPr>
            <w:tcW w:w="3312" w:type="dxa"/>
          </w:tcPr>
          <w:p w:rsidR="00FB70FE" w:rsidRPr="009A02CB" w:rsidRDefault="009E17A8" w:rsidP="00AB4D1C">
            <w:pPr>
              <w:rPr>
                <w:rFonts w:cs="Arial"/>
                <w:sz w:val="22"/>
              </w:rPr>
            </w:pPr>
            <w:r w:rsidRPr="009A02CB">
              <w:rPr>
                <w:rFonts w:cs="Arial"/>
                <w:sz w:val="22"/>
              </w:rPr>
              <w:t xml:space="preserve">Investigation Team Data Warehouse utilised for data matching exercise. Detail below in </w:t>
            </w:r>
            <w:r w:rsidRPr="00CD0ACF">
              <w:rPr>
                <w:rFonts w:cs="Arial"/>
                <w:sz w:val="22"/>
              </w:rPr>
              <w:t>section 4.</w:t>
            </w:r>
          </w:p>
        </w:tc>
      </w:tr>
      <w:tr w:rsidR="00A314C9" w:rsidRPr="009A02CB" w:rsidTr="00257142">
        <w:tc>
          <w:tcPr>
            <w:tcW w:w="2006" w:type="dxa"/>
          </w:tcPr>
          <w:p w:rsidR="00A314C9" w:rsidRPr="009A02CB" w:rsidRDefault="00AB4D1C" w:rsidP="00AB4D1C">
            <w:pPr>
              <w:jc w:val="right"/>
              <w:rPr>
                <w:rFonts w:cs="Arial"/>
                <w:sz w:val="22"/>
              </w:rPr>
            </w:pPr>
            <w:r w:rsidRPr="009A02CB">
              <w:rPr>
                <w:rFonts w:cs="Arial"/>
                <w:sz w:val="22"/>
              </w:rPr>
              <w:t>Totals</w:t>
            </w:r>
          </w:p>
        </w:tc>
        <w:tc>
          <w:tcPr>
            <w:tcW w:w="1587" w:type="dxa"/>
          </w:tcPr>
          <w:p w:rsidR="00A314C9" w:rsidRPr="009A02CB" w:rsidRDefault="00F727F2" w:rsidP="00664156">
            <w:pPr>
              <w:jc w:val="right"/>
              <w:rPr>
                <w:rFonts w:cs="Arial"/>
                <w:b/>
                <w:sz w:val="22"/>
              </w:rPr>
            </w:pPr>
            <w:r w:rsidRPr="009A02CB">
              <w:rPr>
                <w:rFonts w:cs="Arial"/>
                <w:b/>
                <w:sz w:val="22"/>
              </w:rPr>
              <w:t>653,026</w:t>
            </w:r>
          </w:p>
        </w:tc>
        <w:tc>
          <w:tcPr>
            <w:tcW w:w="1617" w:type="dxa"/>
          </w:tcPr>
          <w:p w:rsidR="00A314C9" w:rsidRPr="009A02CB" w:rsidRDefault="00664156" w:rsidP="00664156">
            <w:pPr>
              <w:jc w:val="right"/>
              <w:rPr>
                <w:rFonts w:cs="Arial"/>
                <w:b/>
                <w:sz w:val="22"/>
              </w:rPr>
            </w:pPr>
            <w:r w:rsidRPr="009A02CB">
              <w:rPr>
                <w:rFonts w:cs="Arial"/>
                <w:b/>
                <w:sz w:val="22"/>
              </w:rPr>
              <w:t>3,252</w:t>
            </w:r>
            <w:r w:rsidR="00C81994" w:rsidRPr="009A02CB">
              <w:rPr>
                <w:rFonts w:cs="Arial"/>
                <w:b/>
                <w:sz w:val="22"/>
              </w:rPr>
              <w:t>,</w:t>
            </w:r>
            <w:r w:rsidRPr="009A02CB">
              <w:rPr>
                <w:rFonts w:cs="Arial"/>
                <w:b/>
                <w:sz w:val="22"/>
              </w:rPr>
              <w:t>8</w:t>
            </w:r>
            <w:r w:rsidR="003677F2" w:rsidRPr="009A02CB">
              <w:rPr>
                <w:rFonts w:cs="Arial"/>
                <w:b/>
                <w:sz w:val="22"/>
              </w:rPr>
              <w:t>3</w:t>
            </w:r>
            <w:r w:rsidRPr="009A02CB">
              <w:rPr>
                <w:rFonts w:cs="Arial"/>
                <w:b/>
                <w:sz w:val="22"/>
              </w:rPr>
              <w:t>4</w:t>
            </w:r>
          </w:p>
        </w:tc>
        <w:tc>
          <w:tcPr>
            <w:tcW w:w="3312" w:type="dxa"/>
          </w:tcPr>
          <w:p w:rsidR="00A314C9" w:rsidRPr="009A02CB" w:rsidRDefault="003677F2" w:rsidP="00F727F2">
            <w:pPr>
              <w:jc w:val="center"/>
              <w:rPr>
                <w:rFonts w:cs="Arial"/>
                <w:b/>
                <w:sz w:val="22"/>
              </w:rPr>
            </w:pPr>
            <w:r w:rsidRPr="009A02CB">
              <w:rPr>
                <w:rFonts w:cs="Arial"/>
                <w:b/>
                <w:sz w:val="22"/>
              </w:rPr>
              <w:t>3</w:t>
            </w:r>
            <w:r w:rsidR="00805BB0" w:rsidRPr="009A02CB">
              <w:rPr>
                <w:rFonts w:cs="Arial"/>
                <w:b/>
                <w:sz w:val="22"/>
              </w:rPr>
              <w:t>,</w:t>
            </w:r>
            <w:r w:rsidR="00F727F2" w:rsidRPr="009A02CB">
              <w:rPr>
                <w:rFonts w:cs="Arial"/>
                <w:b/>
                <w:sz w:val="22"/>
              </w:rPr>
              <w:t>905,860</w:t>
            </w:r>
          </w:p>
        </w:tc>
      </w:tr>
    </w:tbl>
    <w:p w:rsidR="00694F2E" w:rsidRDefault="00694F2E" w:rsidP="00C10750">
      <w:pPr>
        <w:rPr>
          <w:rFonts w:cs="Arial"/>
        </w:rPr>
      </w:pPr>
    </w:p>
    <w:p w:rsidR="00694F2E" w:rsidRDefault="00694F2E" w:rsidP="00C10750">
      <w:pPr>
        <w:rPr>
          <w:rFonts w:cs="Arial"/>
        </w:rPr>
      </w:pPr>
    </w:p>
    <w:p w:rsidR="001E6847" w:rsidRDefault="00B26E25" w:rsidP="00225E90">
      <w:pPr>
        <w:pStyle w:val="ListParagraph"/>
        <w:numPr>
          <w:ilvl w:val="0"/>
          <w:numId w:val="2"/>
        </w:numPr>
        <w:rPr>
          <w:rFonts w:cs="Arial"/>
        </w:rPr>
      </w:pPr>
      <w:r>
        <w:rPr>
          <w:rFonts w:cs="Arial"/>
        </w:rPr>
        <w:lastRenderedPageBreak/>
        <w:t>Notable a</w:t>
      </w:r>
      <w:r w:rsidR="00EE4D96">
        <w:rPr>
          <w:rFonts w:cs="Arial"/>
        </w:rPr>
        <w:t xml:space="preserve">ctivity </w:t>
      </w:r>
      <w:r w:rsidR="00BF4A91">
        <w:rPr>
          <w:rFonts w:cs="Arial"/>
        </w:rPr>
        <w:t>from 1</w:t>
      </w:r>
      <w:r w:rsidR="00006D48">
        <w:rPr>
          <w:rFonts w:cs="Arial"/>
        </w:rPr>
        <w:t xml:space="preserve"> April </w:t>
      </w:r>
      <w:r w:rsidR="00BF4A91">
        <w:rPr>
          <w:rFonts w:cs="Arial"/>
        </w:rPr>
        <w:t xml:space="preserve">to 31 </w:t>
      </w:r>
      <w:r w:rsidR="00912083">
        <w:rPr>
          <w:rFonts w:cs="Arial"/>
        </w:rPr>
        <w:t>July</w:t>
      </w:r>
      <w:r w:rsidR="00BF4A91">
        <w:rPr>
          <w:rFonts w:cs="Arial"/>
        </w:rPr>
        <w:t xml:space="preserve"> 201</w:t>
      </w:r>
      <w:r w:rsidR="003677F2">
        <w:rPr>
          <w:rFonts w:cs="Arial"/>
        </w:rPr>
        <w:t>6</w:t>
      </w:r>
      <w:r w:rsidR="00BF4A91">
        <w:rPr>
          <w:rFonts w:cs="Arial"/>
        </w:rPr>
        <w:t xml:space="preserve"> </w:t>
      </w:r>
      <w:r w:rsidR="00EE4D96">
        <w:rPr>
          <w:rFonts w:cs="Arial"/>
        </w:rPr>
        <w:t>included</w:t>
      </w:r>
      <w:r w:rsidR="00C129E2">
        <w:rPr>
          <w:rFonts w:cs="Arial"/>
        </w:rPr>
        <w:t>:</w:t>
      </w:r>
    </w:p>
    <w:p w:rsidR="001E6847" w:rsidRPr="001E6847" w:rsidRDefault="001E6847" w:rsidP="001E6847">
      <w:pPr>
        <w:pStyle w:val="ListParagraph"/>
        <w:rPr>
          <w:rFonts w:cs="Arial"/>
        </w:rPr>
      </w:pPr>
    </w:p>
    <w:p w:rsidR="001E6847" w:rsidRDefault="009E17A8" w:rsidP="00A52F2F">
      <w:pPr>
        <w:pStyle w:val="ListParagraph"/>
        <w:numPr>
          <w:ilvl w:val="1"/>
          <w:numId w:val="2"/>
        </w:numPr>
        <w:spacing w:before="120" w:after="120"/>
        <w:ind w:left="1083" w:hanging="357"/>
        <w:contextualSpacing w:val="0"/>
        <w:rPr>
          <w:rFonts w:cs="Arial"/>
        </w:rPr>
      </w:pPr>
      <w:r>
        <w:rPr>
          <w:rFonts w:cs="Arial"/>
        </w:rPr>
        <w:t>1</w:t>
      </w:r>
      <w:r w:rsidR="004A5164">
        <w:rPr>
          <w:rFonts w:cs="Arial"/>
        </w:rPr>
        <w:t xml:space="preserve"> </w:t>
      </w:r>
      <w:r w:rsidR="00225E90">
        <w:rPr>
          <w:rFonts w:cs="Arial"/>
        </w:rPr>
        <w:t>caution</w:t>
      </w:r>
      <w:r w:rsidR="00486F1C">
        <w:rPr>
          <w:rFonts w:cs="Arial"/>
        </w:rPr>
        <w:t xml:space="preserve"> </w:t>
      </w:r>
      <w:r w:rsidR="00225E90">
        <w:rPr>
          <w:rFonts w:cs="Arial"/>
        </w:rPr>
        <w:t>administered in respect of Counci</w:t>
      </w:r>
      <w:r w:rsidR="00486F1C">
        <w:rPr>
          <w:rFonts w:cs="Arial"/>
        </w:rPr>
        <w:t>l Tax Reduction Scheme offences</w:t>
      </w:r>
    </w:p>
    <w:p w:rsidR="00884DB5" w:rsidRDefault="009E17A8" w:rsidP="00A52F2F">
      <w:pPr>
        <w:pStyle w:val="ListParagraph"/>
        <w:numPr>
          <w:ilvl w:val="1"/>
          <w:numId w:val="2"/>
        </w:numPr>
        <w:spacing w:before="120" w:after="120"/>
        <w:ind w:left="1083" w:hanging="357"/>
        <w:contextualSpacing w:val="0"/>
        <w:rPr>
          <w:rFonts w:cs="Arial"/>
        </w:rPr>
      </w:pPr>
      <w:r>
        <w:rPr>
          <w:rFonts w:cs="Arial"/>
        </w:rPr>
        <w:t>2</w:t>
      </w:r>
      <w:r w:rsidR="00884DB5">
        <w:rPr>
          <w:rFonts w:cs="Arial"/>
        </w:rPr>
        <w:t xml:space="preserve"> Administrative Penalt</w:t>
      </w:r>
      <w:r>
        <w:rPr>
          <w:rFonts w:cs="Arial"/>
        </w:rPr>
        <w:t>ies</w:t>
      </w:r>
      <w:r w:rsidR="00884DB5">
        <w:rPr>
          <w:rFonts w:cs="Arial"/>
        </w:rPr>
        <w:t xml:space="preserve"> offered and accepted in respect of Council Tax Reduction Scheme offences</w:t>
      </w:r>
    </w:p>
    <w:p w:rsidR="009A02CB" w:rsidRDefault="00912083" w:rsidP="00A52F2F">
      <w:pPr>
        <w:pStyle w:val="ListParagraph"/>
        <w:numPr>
          <w:ilvl w:val="1"/>
          <w:numId w:val="2"/>
        </w:numPr>
        <w:spacing w:before="120" w:after="120"/>
        <w:ind w:left="1083" w:hanging="357"/>
        <w:contextualSpacing w:val="0"/>
        <w:rPr>
          <w:rFonts w:cs="Arial"/>
        </w:rPr>
      </w:pPr>
      <w:r>
        <w:rPr>
          <w:rFonts w:cs="Arial"/>
        </w:rPr>
        <w:t xml:space="preserve">Following on from the pilot initiative, the </w:t>
      </w:r>
      <w:r w:rsidR="009A02CB">
        <w:rPr>
          <w:rFonts w:cs="Arial"/>
        </w:rPr>
        <w:t>Data Warehouse s</w:t>
      </w:r>
      <w:r>
        <w:rPr>
          <w:rFonts w:cs="Arial"/>
        </w:rPr>
        <w:t xml:space="preserve">ystem is being used </w:t>
      </w:r>
      <w:r w:rsidR="009A02CB">
        <w:rPr>
          <w:rFonts w:cs="Arial"/>
        </w:rPr>
        <w:t xml:space="preserve">to undertake a proactive review of Council Tax Single Person </w:t>
      </w:r>
      <w:r w:rsidR="00AE6F22">
        <w:rPr>
          <w:rFonts w:cs="Arial"/>
        </w:rPr>
        <w:t>D</w:t>
      </w:r>
      <w:r w:rsidR="009A02CB">
        <w:rPr>
          <w:rFonts w:cs="Arial"/>
        </w:rPr>
        <w:t>iscount entitlement</w:t>
      </w:r>
      <w:r w:rsidR="00E166ED">
        <w:rPr>
          <w:rFonts w:cs="Arial"/>
        </w:rPr>
        <w:t xml:space="preserve"> across the City</w:t>
      </w:r>
      <w:r w:rsidR="009A02CB">
        <w:rPr>
          <w:rFonts w:cs="Arial"/>
        </w:rPr>
        <w:t xml:space="preserve">. </w:t>
      </w:r>
      <w:r w:rsidR="00E166ED">
        <w:rPr>
          <w:rFonts w:cs="Arial"/>
        </w:rPr>
        <w:t>The value of incorrect discounts in one parish exceeded £33,000. A review of two further parishes is nearing conclusion</w:t>
      </w:r>
      <w:r w:rsidR="00B26E25">
        <w:rPr>
          <w:rFonts w:cs="Arial"/>
        </w:rPr>
        <w:t>. Values for these and additional reviews will feature in the December 2016 report.</w:t>
      </w:r>
    </w:p>
    <w:p w:rsidR="00B26E25" w:rsidRDefault="00B26E25" w:rsidP="00A52F2F">
      <w:pPr>
        <w:pStyle w:val="ListParagraph"/>
        <w:numPr>
          <w:ilvl w:val="1"/>
          <w:numId w:val="2"/>
        </w:numPr>
        <w:spacing w:before="120" w:after="120"/>
        <w:ind w:left="1083" w:hanging="357"/>
        <w:contextualSpacing w:val="0"/>
        <w:rPr>
          <w:rFonts w:cs="Arial"/>
        </w:rPr>
      </w:pPr>
      <w:r>
        <w:rPr>
          <w:rFonts w:cs="Arial"/>
        </w:rPr>
        <w:t xml:space="preserve">The matching capabilities of the Data Warehouse system are being used to undertake a review of the Private Rented Sector Deposits and Bonds scheme. In the period, </w:t>
      </w:r>
      <w:r w:rsidR="00F1719D">
        <w:rPr>
          <w:rFonts w:cs="Arial"/>
        </w:rPr>
        <w:t xml:space="preserve">over £68,000 in deposits paid to tenants and landlords has been identified for recovery, </w:t>
      </w:r>
      <w:r w:rsidR="00AA621C">
        <w:rPr>
          <w:rFonts w:cs="Arial"/>
        </w:rPr>
        <w:t xml:space="preserve">and over £42,000 of bond reserve has been released from the Guarantee Fund. </w:t>
      </w:r>
      <w:r w:rsidR="00AE6F22">
        <w:rPr>
          <w:rFonts w:cs="Arial"/>
        </w:rPr>
        <w:t>T</w:t>
      </w:r>
      <w:r w:rsidR="00AA621C">
        <w:rPr>
          <w:rFonts w:cs="Arial"/>
        </w:rPr>
        <w:t xml:space="preserve">he investigation resulted in the identification of </w:t>
      </w:r>
      <w:r w:rsidR="00F1719D">
        <w:rPr>
          <w:rFonts w:cs="Arial"/>
        </w:rPr>
        <w:t xml:space="preserve">tenants </w:t>
      </w:r>
      <w:r w:rsidR="00AA621C">
        <w:rPr>
          <w:rFonts w:cs="Arial"/>
        </w:rPr>
        <w:t xml:space="preserve">who </w:t>
      </w:r>
      <w:r w:rsidR="00F1719D">
        <w:rPr>
          <w:rFonts w:cs="Arial"/>
        </w:rPr>
        <w:t xml:space="preserve">moved address </w:t>
      </w:r>
      <w:r w:rsidR="00A84116">
        <w:rPr>
          <w:rFonts w:cs="Arial"/>
        </w:rPr>
        <w:t xml:space="preserve">with </w:t>
      </w:r>
      <w:r w:rsidR="001E0E9F">
        <w:rPr>
          <w:rFonts w:cs="Arial"/>
        </w:rPr>
        <w:t>neither the landlord nor</w:t>
      </w:r>
      <w:r w:rsidR="001E6C28">
        <w:rPr>
          <w:rFonts w:cs="Arial"/>
        </w:rPr>
        <w:t xml:space="preserve"> tenant</w:t>
      </w:r>
      <w:r w:rsidR="00A84116">
        <w:rPr>
          <w:rFonts w:cs="Arial"/>
        </w:rPr>
        <w:t xml:space="preserve"> notifying </w:t>
      </w:r>
      <w:r w:rsidR="00F1719D">
        <w:rPr>
          <w:rFonts w:cs="Arial"/>
        </w:rPr>
        <w:t>the Council</w:t>
      </w:r>
      <w:r w:rsidR="001E29B3">
        <w:rPr>
          <w:rFonts w:cs="Arial"/>
        </w:rPr>
        <w:t>.</w:t>
      </w:r>
      <w:r w:rsidR="00AA621C">
        <w:rPr>
          <w:rFonts w:cs="Arial"/>
        </w:rPr>
        <w:t xml:space="preserve"> The exercise is due to be concluded by the end of August 2016 and the final outcomes will be detailed in the December 2016 report. </w:t>
      </w:r>
      <w:r w:rsidR="00A84116">
        <w:rPr>
          <w:rFonts w:cs="Arial"/>
        </w:rPr>
        <w:t>R</w:t>
      </w:r>
      <w:r w:rsidR="001D31E1">
        <w:rPr>
          <w:rFonts w:cs="Arial"/>
        </w:rPr>
        <w:t xml:space="preserve">ecommendations will </w:t>
      </w:r>
      <w:r w:rsidR="005D0BF3">
        <w:rPr>
          <w:rFonts w:cs="Arial"/>
        </w:rPr>
        <w:t>include</w:t>
      </w:r>
      <w:r w:rsidR="001D31E1">
        <w:rPr>
          <w:rFonts w:cs="Arial"/>
        </w:rPr>
        <w:t xml:space="preserve"> the Investigation Team conduct</w:t>
      </w:r>
      <w:r w:rsidR="005D0BF3">
        <w:rPr>
          <w:rFonts w:cs="Arial"/>
        </w:rPr>
        <w:t>ing</w:t>
      </w:r>
      <w:r w:rsidR="001D31E1">
        <w:rPr>
          <w:rFonts w:cs="Arial"/>
        </w:rPr>
        <w:t xml:space="preserve"> quarterly reviews</w:t>
      </w:r>
      <w:r w:rsidR="00A84116">
        <w:rPr>
          <w:rFonts w:cs="Arial"/>
        </w:rPr>
        <w:t xml:space="preserve"> of the scheme</w:t>
      </w:r>
      <w:r w:rsidR="001D31E1">
        <w:rPr>
          <w:rFonts w:cs="Arial"/>
        </w:rPr>
        <w:t>, t</w:t>
      </w:r>
      <w:r w:rsidR="005D0BF3">
        <w:rPr>
          <w:rFonts w:cs="Arial"/>
        </w:rPr>
        <w:t>o</w:t>
      </w:r>
      <w:r w:rsidR="001D31E1">
        <w:rPr>
          <w:rFonts w:cs="Arial"/>
        </w:rPr>
        <w:t xml:space="preserve"> </w:t>
      </w:r>
      <w:r w:rsidR="005D0BF3">
        <w:rPr>
          <w:rFonts w:cs="Arial"/>
        </w:rPr>
        <w:t>ensure</w:t>
      </w:r>
      <w:r w:rsidR="001D31E1">
        <w:rPr>
          <w:rFonts w:cs="Arial"/>
        </w:rPr>
        <w:t xml:space="preserve"> regular</w:t>
      </w:r>
      <w:r w:rsidR="00A84116">
        <w:rPr>
          <w:rFonts w:cs="Arial"/>
        </w:rPr>
        <w:t xml:space="preserve"> recovery of deposits and bonds.</w:t>
      </w:r>
    </w:p>
    <w:p w:rsidR="00674107" w:rsidRDefault="00674107" w:rsidP="00A52F2F">
      <w:pPr>
        <w:pStyle w:val="ListParagraph"/>
        <w:numPr>
          <w:ilvl w:val="1"/>
          <w:numId w:val="2"/>
        </w:numPr>
        <w:spacing w:before="120" w:after="120"/>
        <w:ind w:left="1083" w:hanging="357"/>
        <w:contextualSpacing w:val="0"/>
        <w:rPr>
          <w:rFonts w:cs="Arial"/>
        </w:rPr>
      </w:pPr>
      <w:r>
        <w:rPr>
          <w:rFonts w:cs="Arial"/>
        </w:rPr>
        <w:t>The Investigation Team have been selected by the Institute of Revenues, Ratings and Valuations (IRRV) as a Finalist for their prestigious performance awards. The team entered a submission for the “Excellence in Corporate Fraud” award and were one of only three authorities in the UK shortlisted for the award. The awards event takes place on 19 October 2016 where the winner will be announced.</w:t>
      </w:r>
    </w:p>
    <w:p w:rsidR="00674107" w:rsidRPr="00A710FB" w:rsidRDefault="00674107" w:rsidP="00A52F2F">
      <w:pPr>
        <w:pStyle w:val="ListParagraph"/>
        <w:numPr>
          <w:ilvl w:val="1"/>
          <w:numId w:val="2"/>
        </w:numPr>
        <w:spacing w:before="120" w:after="120"/>
        <w:ind w:left="1083" w:hanging="357"/>
        <w:contextualSpacing w:val="0"/>
        <w:rPr>
          <w:rFonts w:cs="Arial"/>
          <w:b/>
        </w:rPr>
      </w:pPr>
      <w:r>
        <w:rPr>
          <w:rFonts w:cs="Arial"/>
        </w:rPr>
        <w:t xml:space="preserve">The Investigation Team are hosting </w:t>
      </w:r>
      <w:r w:rsidR="005D0BF3">
        <w:rPr>
          <w:rFonts w:cs="Arial"/>
        </w:rPr>
        <w:t xml:space="preserve"> an </w:t>
      </w:r>
      <w:r>
        <w:rPr>
          <w:rFonts w:cs="Arial"/>
        </w:rPr>
        <w:t xml:space="preserve">Open Day </w:t>
      </w:r>
      <w:r w:rsidR="005D0BF3">
        <w:rPr>
          <w:rFonts w:cs="Arial"/>
        </w:rPr>
        <w:t xml:space="preserve">on the </w:t>
      </w:r>
      <w:r>
        <w:rPr>
          <w:rFonts w:cs="Arial"/>
        </w:rPr>
        <w:t>28 September 2016 at Oxford Town Hall</w:t>
      </w:r>
      <w:r w:rsidR="00DE4FAE">
        <w:rPr>
          <w:rFonts w:cs="Arial"/>
        </w:rPr>
        <w:t xml:space="preserve"> </w:t>
      </w:r>
      <w:r w:rsidR="008523FA">
        <w:rPr>
          <w:rFonts w:cs="Arial"/>
        </w:rPr>
        <w:t xml:space="preserve">for </w:t>
      </w:r>
      <w:r w:rsidR="003F04A4">
        <w:rPr>
          <w:rFonts w:cs="Arial"/>
        </w:rPr>
        <w:t>local authorities, registered providers of social housing and local landlords. The aim of the event</w:t>
      </w:r>
      <w:r w:rsidR="00144900">
        <w:rPr>
          <w:rFonts w:cs="Arial"/>
        </w:rPr>
        <w:t>,</w:t>
      </w:r>
      <w:r w:rsidR="003F04A4">
        <w:rPr>
          <w:rFonts w:cs="Arial"/>
        </w:rPr>
        <w:t xml:space="preserve"> </w:t>
      </w:r>
      <w:r w:rsidR="00CF1594">
        <w:rPr>
          <w:rFonts w:cs="Arial"/>
        </w:rPr>
        <w:t>which is free of charge</w:t>
      </w:r>
      <w:r w:rsidR="00144900">
        <w:rPr>
          <w:rFonts w:cs="Arial"/>
        </w:rPr>
        <w:t>,</w:t>
      </w:r>
      <w:r w:rsidR="00CF1594">
        <w:rPr>
          <w:rFonts w:cs="Arial"/>
        </w:rPr>
        <w:t xml:space="preserve"> </w:t>
      </w:r>
      <w:r w:rsidR="003F04A4">
        <w:rPr>
          <w:rFonts w:cs="Arial"/>
        </w:rPr>
        <w:t xml:space="preserve">is to help raise awareness of fraud trends and emerging risks to </w:t>
      </w:r>
      <w:r w:rsidR="00A710FB">
        <w:rPr>
          <w:rFonts w:cs="Arial"/>
        </w:rPr>
        <w:t xml:space="preserve">attending </w:t>
      </w:r>
      <w:r w:rsidR="003F04A4">
        <w:rPr>
          <w:rFonts w:cs="Arial"/>
        </w:rPr>
        <w:t>organisations</w:t>
      </w:r>
      <w:r w:rsidR="00A710FB">
        <w:rPr>
          <w:rFonts w:cs="Arial"/>
        </w:rPr>
        <w:t xml:space="preserve">, and </w:t>
      </w:r>
      <w:r w:rsidR="00CF1594">
        <w:rPr>
          <w:rFonts w:cs="Arial"/>
        </w:rPr>
        <w:t xml:space="preserve">raise awareness of </w:t>
      </w:r>
      <w:r w:rsidR="00A710FB">
        <w:rPr>
          <w:rFonts w:cs="Arial"/>
        </w:rPr>
        <w:t>the services the Investigation</w:t>
      </w:r>
      <w:r w:rsidR="00CF1594">
        <w:rPr>
          <w:rFonts w:cs="Arial"/>
        </w:rPr>
        <w:t>s</w:t>
      </w:r>
      <w:r w:rsidR="00A710FB">
        <w:rPr>
          <w:rFonts w:cs="Arial"/>
        </w:rPr>
        <w:t xml:space="preserve"> Team </w:t>
      </w:r>
      <w:r w:rsidR="00CF1594">
        <w:rPr>
          <w:rFonts w:cs="Arial"/>
        </w:rPr>
        <w:t>can offer</w:t>
      </w:r>
      <w:r w:rsidR="00A710FB">
        <w:rPr>
          <w:rFonts w:cs="Arial"/>
        </w:rPr>
        <w:t xml:space="preserve">. The agenda is included in </w:t>
      </w:r>
      <w:r w:rsidR="00A710FB" w:rsidRPr="00A710FB">
        <w:rPr>
          <w:rFonts w:cs="Arial"/>
          <w:b/>
        </w:rPr>
        <w:t>Appendix 1.</w:t>
      </w:r>
    </w:p>
    <w:p w:rsidR="00A710FB" w:rsidRDefault="00A710FB" w:rsidP="00A710FB">
      <w:pPr>
        <w:spacing w:before="120" w:after="120"/>
        <w:rPr>
          <w:rFonts w:cs="Arial"/>
        </w:rPr>
      </w:pPr>
    </w:p>
    <w:p w:rsidR="00235785" w:rsidRDefault="00FC03A1" w:rsidP="00FC03A1">
      <w:pPr>
        <w:rPr>
          <w:rFonts w:cs="Arial"/>
          <w:b/>
        </w:rPr>
      </w:pPr>
      <w:r>
        <w:rPr>
          <w:rFonts w:cs="Arial"/>
          <w:b/>
        </w:rPr>
        <w:t xml:space="preserve">     Internal Investigations</w:t>
      </w:r>
    </w:p>
    <w:p w:rsidR="00FC03A1" w:rsidRDefault="00FC03A1" w:rsidP="002A48DC">
      <w:pPr>
        <w:rPr>
          <w:rFonts w:cs="Arial"/>
          <w:b/>
        </w:rPr>
      </w:pPr>
    </w:p>
    <w:p w:rsidR="00FC03A1" w:rsidRPr="00663062" w:rsidRDefault="004832DF" w:rsidP="00663062">
      <w:pPr>
        <w:pStyle w:val="ListParagraph"/>
        <w:numPr>
          <w:ilvl w:val="0"/>
          <w:numId w:val="2"/>
        </w:numPr>
        <w:rPr>
          <w:rFonts w:cs="Arial"/>
        </w:rPr>
      </w:pPr>
      <w:r w:rsidRPr="00A710FB">
        <w:rPr>
          <w:rFonts w:cs="Arial"/>
          <w:b/>
        </w:rPr>
        <w:t xml:space="preserve">Appendix </w:t>
      </w:r>
      <w:proofErr w:type="gramStart"/>
      <w:r w:rsidR="00A710FB" w:rsidRPr="00A710FB">
        <w:rPr>
          <w:rFonts w:cs="Arial"/>
          <w:b/>
        </w:rPr>
        <w:t>2</w:t>
      </w:r>
      <w:r>
        <w:rPr>
          <w:rFonts w:cs="Arial"/>
        </w:rPr>
        <w:t xml:space="preserve"> </w:t>
      </w:r>
      <w:r w:rsidR="00577436">
        <w:rPr>
          <w:rFonts w:cs="Arial"/>
        </w:rPr>
        <w:t xml:space="preserve"> provides</w:t>
      </w:r>
      <w:proofErr w:type="gramEnd"/>
      <w:r w:rsidR="00577436">
        <w:rPr>
          <w:rFonts w:cs="Arial"/>
        </w:rPr>
        <w:t xml:space="preserve"> details of the internal </w:t>
      </w:r>
      <w:r w:rsidR="00790EA7">
        <w:rPr>
          <w:rFonts w:cs="Arial"/>
        </w:rPr>
        <w:t>investigations during the period.</w:t>
      </w:r>
    </w:p>
    <w:p w:rsidR="00674107" w:rsidRDefault="00674107" w:rsidP="00790EA7">
      <w:pPr>
        <w:ind w:left="360"/>
        <w:rPr>
          <w:rFonts w:cs="Arial"/>
          <w:b/>
        </w:rPr>
      </w:pPr>
    </w:p>
    <w:p w:rsidR="006B7BB3" w:rsidRDefault="006B7BB3" w:rsidP="00790EA7">
      <w:pPr>
        <w:ind w:left="360"/>
        <w:rPr>
          <w:rFonts w:cs="Arial"/>
          <w:b/>
        </w:rPr>
      </w:pPr>
    </w:p>
    <w:p w:rsidR="006B7BB3" w:rsidRDefault="006B7BB3" w:rsidP="00790EA7">
      <w:pPr>
        <w:ind w:left="360"/>
        <w:rPr>
          <w:rFonts w:cs="Arial"/>
          <w:b/>
        </w:rPr>
      </w:pPr>
    </w:p>
    <w:p w:rsidR="00A35036" w:rsidRPr="00A35036" w:rsidRDefault="00790EA7" w:rsidP="00790EA7">
      <w:pPr>
        <w:ind w:left="360"/>
        <w:rPr>
          <w:rFonts w:cs="Arial"/>
          <w:b/>
        </w:rPr>
      </w:pPr>
      <w:r>
        <w:rPr>
          <w:rFonts w:cs="Arial"/>
          <w:b/>
        </w:rPr>
        <w:lastRenderedPageBreak/>
        <w:t>Partnership Working Update</w:t>
      </w:r>
    </w:p>
    <w:p w:rsidR="00302A89" w:rsidRPr="00302A89" w:rsidRDefault="00302A89" w:rsidP="00302A89">
      <w:pPr>
        <w:rPr>
          <w:rFonts w:cs="Arial"/>
        </w:rPr>
      </w:pPr>
    </w:p>
    <w:p w:rsidR="00235785" w:rsidRDefault="00513ABE" w:rsidP="00E35866">
      <w:pPr>
        <w:pStyle w:val="ListParagraph"/>
        <w:numPr>
          <w:ilvl w:val="0"/>
          <w:numId w:val="2"/>
        </w:numPr>
        <w:rPr>
          <w:rFonts w:cs="Arial"/>
        </w:rPr>
      </w:pPr>
      <w:r>
        <w:rPr>
          <w:rFonts w:cs="Arial"/>
        </w:rPr>
        <w:t>Fraud</w:t>
      </w:r>
      <w:r w:rsidR="006E1D47">
        <w:rPr>
          <w:rFonts w:cs="Arial"/>
        </w:rPr>
        <w:t xml:space="preserve"> </w:t>
      </w:r>
      <w:r w:rsidR="00577436">
        <w:rPr>
          <w:rFonts w:cs="Arial"/>
        </w:rPr>
        <w:t>H</w:t>
      </w:r>
      <w:r w:rsidR="006E1D47">
        <w:rPr>
          <w:rFonts w:cs="Arial"/>
        </w:rPr>
        <w:t>ub working arrangements</w:t>
      </w:r>
      <w:r w:rsidR="005B7A29">
        <w:rPr>
          <w:rFonts w:cs="Arial"/>
        </w:rPr>
        <w:t xml:space="preserve"> </w:t>
      </w:r>
      <w:r w:rsidR="00790EA7">
        <w:rPr>
          <w:rFonts w:cs="Arial"/>
        </w:rPr>
        <w:t xml:space="preserve">remain in place with </w:t>
      </w:r>
      <w:r w:rsidR="00D96083">
        <w:rPr>
          <w:rFonts w:cs="Arial"/>
        </w:rPr>
        <w:t xml:space="preserve">services being </w:t>
      </w:r>
      <w:r w:rsidR="00A630FF">
        <w:rPr>
          <w:rFonts w:cs="Arial"/>
        </w:rPr>
        <w:t xml:space="preserve">contractually </w:t>
      </w:r>
      <w:r w:rsidR="00D96083">
        <w:rPr>
          <w:rFonts w:cs="Arial"/>
        </w:rPr>
        <w:t xml:space="preserve">provided to </w:t>
      </w:r>
      <w:r w:rsidR="00790EA7">
        <w:rPr>
          <w:rFonts w:cs="Arial"/>
        </w:rPr>
        <w:t>multiple partner organisations.</w:t>
      </w:r>
    </w:p>
    <w:p w:rsidR="00D96083" w:rsidRPr="00D96083" w:rsidRDefault="00D96083" w:rsidP="00D96083">
      <w:pPr>
        <w:rPr>
          <w:rFonts w:cs="Arial"/>
        </w:rPr>
      </w:pPr>
    </w:p>
    <w:p w:rsidR="00D17EA5" w:rsidRPr="00674107" w:rsidRDefault="00F21D13" w:rsidP="005C5303">
      <w:pPr>
        <w:pStyle w:val="ListParagraph"/>
        <w:numPr>
          <w:ilvl w:val="0"/>
          <w:numId w:val="15"/>
        </w:numPr>
        <w:ind w:left="720"/>
        <w:rPr>
          <w:rFonts w:cs="Arial"/>
        </w:rPr>
      </w:pPr>
      <w:r w:rsidRPr="00674107">
        <w:rPr>
          <w:rFonts w:cs="Arial"/>
        </w:rPr>
        <w:t>Agreement</w:t>
      </w:r>
      <w:r w:rsidR="00FC7F80" w:rsidRPr="00674107">
        <w:rPr>
          <w:rFonts w:cs="Arial"/>
        </w:rPr>
        <w:t>s</w:t>
      </w:r>
      <w:r w:rsidRPr="00674107">
        <w:rPr>
          <w:rFonts w:cs="Arial"/>
        </w:rPr>
        <w:t xml:space="preserve"> in place with </w:t>
      </w:r>
      <w:r w:rsidR="00753DFC" w:rsidRPr="00674107">
        <w:rPr>
          <w:rFonts w:cs="Arial"/>
        </w:rPr>
        <w:t xml:space="preserve">South Oxfordshire District Council and Vale of White Horse District Council for </w:t>
      </w:r>
      <w:r w:rsidRPr="00674107">
        <w:rPr>
          <w:rFonts w:cs="Arial"/>
        </w:rPr>
        <w:t xml:space="preserve">the </w:t>
      </w:r>
      <w:r w:rsidR="00753DFC" w:rsidRPr="00674107">
        <w:rPr>
          <w:rFonts w:cs="Arial"/>
        </w:rPr>
        <w:t>provision of</w:t>
      </w:r>
      <w:r w:rsidR="000168F7" w:rsidRPr="00674107">
        <w:rPr>
          <w:rFonts w:cs="Arial"/>
        </w:rPr>
        <w:t xml:space="preserve"> corporate</w:t>
      </w:r>
      <w:r w:rsidR="00753DFC" w:rsidRPr="00674107">
        <w:rPr>
          <w:rFonts w:cs="Arial"/>
        </w:rPr>
        <w:t xml:space="preserve"> investigation services</w:t>
      </w:r>
      <w:r w:rsidR="00595075" w:rsidRPr="00674107">
        <w:rPr>
          <w:rFonts w:cs="Arial"/>
        </w:rPr>
        <w:t xml:space="preserve"> from January 2016 to the end of July 2016</w:t>
      </w:r>
      <w:r w:rsidR="00FC7F80" w:rsidRPr="00674107">
        <w:rPr>
          <w:rFonts w:cs="Arial"/>
        </w:rPr>
        <w:t>.</w:t>
      </w:r>
      <w:r w:rsidR="004E4791" w:rsidRPr="00674107">
        <w:rPr>
          <w:rFonts w:cs="Arial"/>
        </w:rPr>
        <w:t xml:space="preserve"> </w:t>
      </w:r>
      <w:r w:rsidR="00595075" w:rsidRPr="00674107">
        <w:rPr>
          <w:rFonts w:cs="Arial"/>
        </w:rPr>
        <w:t xml:space="preserve">During the period of the contract, </w:t>
      </w:r>
      <w:r w:rsidR="00320230" w:rsidRPr="00674107">
        <w:rPr>
          <w:rFonts w:cs="Arial"/>
        </w:rPr>
        <w:t xml:space="preserve">total income generation to </w:t>
      </w:r>
      <w:r w:rsidR="009D22FC" w:rsidRPr="00674107">
        <w:rPr>
          <w:rFonts w:cs="Arial"/>
        </w:rPr>
        <w:t xml:space="preserve">the value of </w:t>
      </w:r>
      <w:r w:rsidR="00320230" w:rsidRPr="00674107">
        <w:rPr>
          <w:rFonts w:cs="Arial"/>
        </w:rPr>
        <w:t>£</w:t>
      </w:r>
      <w:r w:rsidR="00D17EA5" w:rsidRPr="00674107">
        <w:rPr>
          <w:rFonts w:cs="Arial"/>
        </w:rPr>
        <w:t>395,029</w:t>
      </w:r>
      <w:r w:rsidR="009D22FC" w:rsidRPr="00674107">
        <w:rPr>
          <w:rFonts w:cs="Arial"/>
        </w:rPr>
        <w:t xml:space="preserve"> </w:t>
      </w:r>
      <w:r w:rsidR="00595075" w:rsidRPr="00674107">
        <w:rPr>
          <w:rFonts w:cs="Arial"/>
        </w:rPr>
        <w:t>was</w:t>
      </w:r>
      <w:r w:rsidR="009D22FC" w:rsidRPr="00674107">
        <w:rPr>
          <w:rFonts w:cs="Arial"/>
        </w:rPr>
        <w:t xml:space="preserve"> identified as below:</w:t>
      </w:r>
    </w:p>
    <w:p w:rsidR="00D17EA5" w:rsidRPr="005C5303" w:rsidRDefault="00D17EA5" w:rsidP="005C5303">
      <w:pPr>
        <w:ind w:left="720"/>
        <w:rPr>
          <w:rFonts w:cs="Arial"/>
        </w:rPr>
      </w:pPr>
    </w:p>
    <w:tbl>
      <w:tblPr>
        <w:tblStyle w:val="TableGrid"/>
        <w:tblW w:w="0" w:type="auto"/>
        <w:tblInd w:w="720" w:type="dxa"/>
        <w:tblLook w:val="04A0" w:firstRow="1" w:lastRow="0" w:firstColumn="1" w:lastColumn="0" w:noHBand="0" w:noVBand="1"/>
      </w:tblPr>
      <w:tblGrid>
        <w:gridCol w:w="2700"/>
        <w:gridCol w:w="2591"/>
        <w:gridCol w:w="2511"/>
      </w:tblGrid>
      <w:tr w:rsidR="005C5303" w:rsidRPr="00302AD0" w:rsidTr="004C6616">
        <w:tc>
          <w:tcPr>
            <w:tcW w:w="2700" w:type="dxa"/>
          </w:tcPr>
          <w:p w:rsidR="005C5303" w:rsidRPr="006B7BB3" w:rsidRDefault="004C6616" w:rsidP="004C6616">
            <w:pPr>
              <w:jc w:val="center"/>
              <w:rPr>
                <w:rFonts w:cs="Arial"/>
                <w:b/>
              </w:rPr>
            </w:pPr>
            <w:r w:rsidRPr="006B7BB3">
              <w:rPr>
                <w:rFonts w:cs="Arial"/>
                <w:b/>
              </w:rPr>
              <w:t>Value (£)</w:t>
            </w:r>
          </w:p>
        </w:tc>
        <w:tc>
          <w:tcPr>
            <w:tcW w:w="2591" w:type="dxa"/>
          </w:tcPr>
          <w:p w:rsidR="005C5303" w:rsidRPr="006B7BB3" w:rsidRDefault="005C5303" w:rsidP="004C6616">
            <w:pPr>
              <w:jc w:val="center"/>
              <w:rPr>
                <w:rFonts w:cs="Arial"/>
                <w:b/>
              </w:rPr>
            </w:pPr>
            <w:r w:rsidRPr="006B7BB3">
              <w:rPr>
                <w:rFonts w:cs="Arial"/>
                <w:b/>
              </w:rPr>
              <w:t>South Oxfordshire District Council</w:t>
            </w:r>
          </w:p>
        </w:tc>
        <w:tc>
          <w:tcPr>
            <w:tcW w:w="2511" w:type="dxa"/>
          </w:tcPr>
          <w:p w:rsidR="005C5303" w:rsidRPr="006B7BB3" w:rsidRDefault="005C5303" w:rsidP="004C6616">
            <w:pPr>
              <w:jc w:val="center"/>
              <w:rPr>
                <w:rFonts w:cs="Arial"/>
                <w:b/>
              </w:rPr>
            </w:pPr>
            <w:r w:rsidRPr="006B7BB3">
              <w:rPr>
                <w:rFonts w:cs="Arial"/>
                <w:b/>
              </w:rPr>
              <w:t>Vale of White Horse District Council</w:t>
            </w:r>
          </w:p>
        </w:tc>
      </w:tr>
      <w:tr w:rsidR="005C5303" w:rsidRPr="00595075" w:rsidTr="004C6616">
        <w:tc>
          <w:tcPr>
            <w:tcW w:w="2700" w:type="dxa"/>
          </w:tcPr>
          <w:p w:rsidR="005C5303" w:rsidRPr="00B03D33" w:rsidRDefault="005C5303" w:rsidP="005C5303">
            <w:pPr>
              <w:rPr>
                <w:rFonts w:cs="Arial"/>
              </w:rPr>
            </w:pPr>
            <w:r w:rsidRPr="00B03D33">
              <w:rPr>
                <w:rFonts w:cs="Arial"/>
              </w:rPr>
              <w:t xml:space="preserve">Housing Benefit </w:t>
            </w:r>
            <w:r w:rsidR="004C6616" w:rsidRPr="00B03D33">
              <w:rPr>
                <w:rFonts w:cs="Arial"/>
              </w:rPr>
              <w:t>Overpayments</w:t>
            </w:r>
          </w:p>
        </w:tc>
        <w:tc>
          <w:tcPr>
            <w:tcW w:w="2591" w:type="dxa"/>
          </w:tcPr>
          <w:p w:rsidR="005C5303" w:rsidRPr="00B03D33" w:rsidRDefault="00875793" w:rsidP="006B7BB3">
            <w:pPr>
              <w:jc w:val="right"/>
              <w:rPr>
                <w:rFonts w:cs="Arial"/>
              </w:rPr>
            </w:pPr>
            <w:r>
              <w:rPr>
                <w:rFonts w:cs="Arial"/>
              </w:rPr>
              <w:t>134,028</w:t>
            </w:r>
          </w:p>
        </w:tc>
        <w:tc>
          <w:tcPr>
            <w:tcW w:w="2511" w:type="dxa"/>
          </w:tcPr>
          <w:p w:rsidR="005C5303" w:rsidRPr="00B03D33" w:rsidRDefault="00D17EA5" w:rsidP="006B7BB3">
            <w:pPr>
              <w:jc w:val="right"/>
              <w:rPr>
                <w:rFonts w:cs="Arial"/>
              </w:rPr>
            </w:pPr>
            <w:r>
              <w:rPr>
                <w:rFonts w:cs="Arial"/>
              </w:rPr>
              <w:t>160,172</w:t>
            </w:r>
          </w:p>
        </w:tc>
      </w:tr>
      <w:tr w:rsidR="005C5303" w:rsidRPr="00595075" w:rsidTr="004C6616">
        <w:tc>
          <w:tcPr>
            <w:tcW w:w="2700" w:type="dxa"/>
          </w:tcPr>
          <w:p w:rsidR="005C5303" w:rsidRPr="00B03D33" w:rsidRDefault="005C5303" w:rsidP="005C5303">
            <w:pPr>
              <w:rPr>
                <w:rFonts w:cs="Arial"/>
              </w:rPr>
            </w:pPr>
            <w:r w:rsidRPr="00B03D33">
              <w:rPr>
                <w:rFonts w:cs="Arial"/>
              </w:rPr>
              <w:t>Council Tax Reduction Scheme</w:t>
            </w:r>
            <w:r w:rsidR="004C6616" w:rsidRPr="00B03D33">
              <w:rPr>
                <w:rFonts w:cs="Arial"/>
              </w:rPr>
              <w:t xml:space="preserve"> Overpayments</w:t>
            </w:r>
          </w:p>
        </w:tc>
        <w:tc>
          <w:tcPr>
            <w:tcW w:w="2591" w:type="dxa"/>
          </w:tcPr>
          <w:p w:rsidR="005C5303" w:rsidRPr="00B03D33" w:rsidRDefault="00875793" w:rsidP="006B7BB3">
            <w:pPr>
              <w:jc w:val="right"/>
              <w:rPr>
                <w:rFonts w:cs="Arial"/>
              </w:rPr>
            </w:pPr>
            <w:r>
              <w:rPr>
                <w:rFonts w:cs="Arial"/>
              </w:rPr>
              <w:t>22,538</w:t>
            </w:r>
          </w:p>
        </w:tc>
        <w:tc>
          <w:tcPr>
            <w:tcW w:w="2511" w:type="dxa"/>
          </w:tcPr>
          <w:p w:rsidR="005C5303" w:rsidRPr="00B03D33" w:rsidRDefault="00D17EA5" w:rsidP="006B7BB3">
            <w:pPr>
              <w:jc w:val="right"/>
              <w:rPr>
                <w:rFonts w:cs="Arial"/>
              </w:rPr>
            </w:pPr>
            <w:r>
              <w:rPr>
                <w:rFonts w:cs="Arial"/>
              </w:rPr>
              <w:t>33,336</w:t>
            </w:r>
          </w:p>
        </w:tc>
      </w:tr>
      <w:tr w:rsidR="005C5303" w:rsidRPr="00595075" w:rsidTr="004C6616">
        <w:tc>
          <w:tcPr>
            <w:tcW w:w="2700" w:type="dxa"/>
          </w:tcPr>
          <w:p w:rsidR="005C5303" w:rsidRPr="00B03D33" w:rsidRDefault="005C5303" w:rsidP="005C5303">
            <w:pPr>
              <w:rPr>
                <w:rFonts w:cs="Arial"/>
              </w:rPr>
            </w:pPr>
            <w:r w:rsidRPr="00B03D33">
              <w:rPr>
                <w:rFonts w:cs="Arial"/>
              </w:rPr>
              <w:t>Council Tax Benefit</w:t>
            </w:r>
            <w:r w:rsidR="004C6616" w:rsidRPr="00B03D33">
              <w:rPr>
                <w:rFonts w:cs="Arial"/>
              </w:rPr>
              <w:t xml:space="preserve"> Overpayments</w:t>
            </w:r>
          </w:p>
        </w:tc>
        <w:tc>
          <w:tcPr>
            <w:tcW w:w="2591" w:type="dxa"/>
          </w:tcPr>
          <w:p w:rsidR="005C5303" w:rsidRPr="00B03D33" w:rsidRDefault="005C5303" w:rsidP="006B7BB3">
            <w:pPr>
              <w:jc w:val="right"/>
              <w:rPr>
                <w:rFonts w:cs="Arial"/>
              </w:rPr>
            </w:pPr>
          </w:p>
        </w:tc>
        <w:tc>
          <w:tcPr>
            <w:tcW w:w="2511" w:type="dxa"/>
          </w:tcPr>
          <w:p w:rsidR="005C5303" w:rsidRPr="00B03D33" w:rsidRDefault="00D17EA5" w:rsidP="006B7BB3">
            <w:pPr>
              <w:jc w:val="right"/>
              <w:rPr>
                <w:rFonts w:cs="Arial"/>
              </w:rPr>
            </w:pPr>
            <w:r>
              <w:rPr>
                <w:rFonts w:cs="Arial"/>
              </w:rPr>
              <w:t>8,892</w:t>
            </w:r>
          </w:p>
        </w:tc>
      </w:tr>
      <w:tr w:rsidR="005C5303" w:rsidRPr="00595075" w:rsidTr="004C6616">
        <w:tc>
          <w:tcPr>
            <w:tcW w:w="2700" w:type="dxa"/>
          </w:tcPr>
          <w:p w:rsidR="005C5303" w:rsidRPr="00B03D33" w:rsidRDefault="005C5303" w:rsidP="005C5303">
            <w:pPr>
              <w:rPr>
                <w:rFonts w:cs="Arial"/>
              </w:rPr>
            </w:pPr>
            <w:r w:rsidRPr="00B03D33">
              <w:rPr>
                <w:rFonts w:cs="Arial"/>
              </w:rPr>
              <w:t>Administrative Penalties</w:t>
            </w:r>
          </w:p>
        </w:tc>
        <w:tc>
          <w:tcPr>
            <w:tcW w:w="2591" w:type="dxa"/>
          </w:tcPr>
          <w:p w:rsidR="005C5303" w:rsidRPr="00B03D33" w:rsidRDefault="00D17EA5" w:rsidP="006B7BB3">
            <w:pPr>
              <w:jc w:val="right"/>
              <w:rPr>
                <w:rFonts w:cs="Arial"/>
              </w:rPr>
            </w:pPr>
            <w:r>
              <w:rPr>
                <w:rFonts w:cs="Arial"/>
              </w:rPr>
              <w:t>19,044</w:t>
            </w:r>
          </w:p>
        </w:tc>
        <w:tc>
          <w:tcPr>
            <w:tcW w:w="2511" w:type="dxa"/>
          </w:tcPr>
          <w:p w:rsidR="005C5303" w:rsidRPr="00B03D33" w:rsidRDefault="00D17EA5" w:rsidP="006B7BB3">
            <w:pPr>
              <w:jc w:val="right"/>
              <w:rPr>
                <w:rFonts w:cs="Arial"/>
              </w:rPr>
            </w:pPr>
            <w:r>
              <w:rPr>
                <w:rFonts w:cs="Arial"/>
              </w:rPr>
              <w:t>17,019</w:t>
            </w:r>
          </w:p>
        </w:tc>
      </w:tr>
      <w:tr w:rsidR="005C5303" w:rsidRPr="00595075" w:rsidTr="004C6616">
        <w:tc>
          <w:tcPr>
            <w:tcW w:w="2700" w:type="dxa"/>
          </w:tcPr>
          <w:p w:rsidR="005C5303" w:rsidRPr="00B03D33" w:rsidRDefault="005C5303" w:rsidP="004C6616">
            <w:pPr>
              <w:jc w:val="right"/>
              <w:rPr>
                <w:rFonts w:cs="Arial"/>
                <w:b/>
              </w:rPr>
            </w:pPr>
            <w:r w:rsidRPr="00B03D33">
              <w:rPr>
                <w:rFonts w:cs="Arial"/>
                <w:b/>
              </w:rPr>
              <w:t>Total</w:t>
            </w:r>
          </w:p>
        </w:tc>
        <w:tc>
          <w:tcPr>
            <w:tcW w:w="2591" w:type="dxa"/>
          </w:tcPr>
          <w:p w:rsidR="005C5303" w:rsidRPr="00B03D33" w:rsidRDefault="00D17EA5" w:rsidP="006B7BB3">
            <w:pPr>
              <w:jc w:val="right"/>
              <w:rPr>
                <w:rFonts w:cs="Arial"/>
                <w:b/>
              </w:rPr>
            </w:pPr>
            <w:r>
              <w:rPr>
                <w:rFonts w:cs="Arial"/>
                <w:b/>
              </w:rPr>
              <w:t>175,610</w:t>
            </w:r>
          </w:p>
        </w:tc>
        <w:tc>
          <w:tcPr>
            <w:tcW w:w="2511" w:type="dxa"/>
          </w:tcPr>
          <w:p w:rsidR="005C5303" w:rsidRPr="00B03D33" w:rsidRDefault="00D17EA5" w:rsidP="006B7BB3">
            <w:pPr>
              <w:jc w:val="right"/>
              <w:rPr>
                <w:rFonts w:cs="Arial"/>
                <w:b/>
              </w:rPr>
            </w:pPr>
            <w:r>
              <w:rPr>
                <w:rFonts w:cs="Arial"/>
                <w:b/>
              </w:rPr>
              <w:t>219,419</w:t>
            </w:r>
          </w:p>
        </w:tc>
      </w:tr>
    </w:tbl>
    <w:p w:rsidR="00285BDB" w:rsidRPr="005C5303" w:rsidRDefault="00285BDB" w:rsidP="005C5303">
      <w:pPr>
        <w:ind w:left="720"/>
        <w:rPr>
          <w:rFonts w:cs="Arial"/>
        </w:rPr>
      </w:pPr>
    </w:p>
    <w:p w:rsidR="00C82D50" w:rsidRDefault="00C82D50" w:rsidP="00674107">
      <w:pPr>
        <w:pStyle w:val="ListParagraph"/>
        <w:numPr>
          <w:ilvl w:val="0"/>
          <w:numId w:val="15"/>
        </w:numPr>
        <w:ind w:left="709"/>
        <w:rPr>
          <w:rFonts w:cs="Arial"/>
        </w:rPr>
      </w:pPr>
      <w:r w:rsidRPr="00674107">
        <w:rPr>
          <w:rFonts w:cs="Arial"/>
        </w:rPr>
        <w:t xml:space="preserve">The number of sanction outcomes </w:t>
      </w:r>
      <w:proofErr w:type="gramStart"/>
      <w:r w:rsidR="00302AD0">
        <w:rPr>
          <w:rFonts w:cs="Arial"/>
        </w:rPr>
        <w:t xml:space="preserve">for  </w:t>
      </w:r>
      <w:r w:rsidRPr="00674107">
        <w:rPr>
          <w:rFonts w:cs="Arial"/>
        </w:rPr>
        <w:t>the</w:t>
      </w:r>
      <w:proofErr w:type="gramEnd"/>
      <w:r w:rsidRPr="00674107">
        <w:rPr>
          <w:rFonts w:cs="Arial"/>
        </w:rPr>
        <w:t xml:space="preserve"> period </w:t>
      </w:r>
      <w:r w:rsidR="00302AD0">
        <w:rPr>
          <w:rFonts w:cs="Arial"/>
        </w:rPr>
        <w:t>included:</w:t>
      </w:r>
      <w:r w:rsidRPr="00674107">
        <w:rPr>
          <w:rFonts w:cs="Arial"/>
        </w:rPr>
        <w:t xml:space="preserve"> 1 formal Caution, 19 Administrative Penalties and 4 criminal </w:t>
      </w:r>
      <w:r w:rsidR="005C256E">
        <w:rPr>
          <w:rFonts w:cs="Arial"/>
        </w:rPr>
        <w:t>p</w:t>
      </w:r>
      <w:r w:rsidRPr="00674107">
        <w:rPr>
          <w:rFonts w:cs="Arial"/>
        </w:rPr>
        <w:t>rosecutions. A further two prosecutions were prepared and are progressing through the legal and court systems.</w:t>
      </w:r>
    </w:p>
    <w:p w:rsidR="004272B8" w:rsidRDefault="004272B8" w:rsidP="004272B8">
      <w:pPr>
        <w:rPr>
          <w:rFonts w:cs="Arial"/>
        </w:rPr>
      </w:pPr>
    </w:p>
    <w:p w:rsidR="004272B8" w:rsidRPr="00A630FF" w:rsidRDefault="004272B8" w:rsidP="004272B8">
      <w:pPr>
        <w:pStyle w:val="ListParagraph"/>
        <w:numPr>
          <w:ilvl w:val="0"/>
          <w:numId w:val="15"/>
        </w:numPr>
        <w:ind w:left="709"/>
        <w:rPr>
          <w:rFonts w:cs="Arial"/>
        </w:rPr>
      </w:pPr>
      <w:r w:rsidRPr="00A630FF">
        <w:rPr>
          <w:rFonts w:cs="Arial"/>
        </w:rPr>
        <w:t xml:space="preserve">Visiting services are being </w:t>
      </w:r>
      <w:r>
        <w:rPr>
          <w:rFonts w:cs="Arial"/>
        </w:rPr>
        <w:t>supplie</w:t>
      </w:r>
      <w:r w:rsidRPr="00A630FF">
        <w:rPr>
          <w:rFonts w:cs="Arial"/>
        </w:rPr>
        <w:t xml:space="preserve">d to South </w:t>
      </w:r>
      <w:r>
        <w:rPr>
          <w:rFonts w:cs="Arial"/>
        </w:rPr>
        <w:t xml:space="preserve">Oxfordshire </w:t>
      </w:r>
      <w:r w:rsidRPr="00A630FF">
        <w:rPr>
          <w:rFonts w:cs="Arial"/>
        </w:rPr>
        <w:t>and Vale</w:t>
      </w:r>
      <w:r>
        <w:rPr>
          <w:rFonts w:cs="Arial"/>
        </w:rPr>
        <w:t xml:space="preserve"> of White Horse</w:t>
      </w:r>
      <w:r w:rsidRPr="00A630FF">
        <w:rPr>
          <w:rFonts w:cs="Arial"/>
        </w:rPr>
        <w:t xml:space="preserve"> Dis</w:t>
      </w:r>
      <w:r>
        <w:rPr>
          <w:rFonts w:cs="Arial"/>
        </w:rPr>
        <w:t>trict Councils until March 2017 in accordance with the Fraud and Error Reduction Incentive Scheme (FERIS). The service has significantly increased revenue for the respective authorities, identifying over £25,000 in Housing Benefit overpayments, over £3,000 in Council Tax Reduction Scheme overpayments and has prevented losses of over £100,000 in erroneous and fraudulent benefit awards.</w:t>
      </w:r>
    </w:p>
    <w:p w:rsidR="00C82D50" w:rsidRDefault="00C82D50" w:rsidP="00C82D50">
      <w:pPr>
        <w:pStyle w:val="ListParagraph"/>
        <w:ind w:left="1080"/>
        <w:rPr>
          <w:rFonts w:cs="Arial"/>
        </w:rPr>
      </w:pPr>
    </w:p>
    <w:p w:rsidR="00C919EB" w:rsidRDefault="00F21D13" w:rsidP="00674107">
      <w:pPr>
        <w:pStyle w:val="ListParagraph"/>
        <w:numPr>
          <w:ilvl w:val="0"/>
          <w:numId w:val="15"/>
        </w:numPr>
        <w:ind w:left="709"/>
        <w:rPr>
          <w:rFonts w:cs="Arial"/>
        </w:rPr>
      </w:pPr>
      <w:r w:rsidRPr="00C919EB">
        <w:rPr>
          <w:rFonts w:cs="Arial"/>
        </w:rPr>
        <w:t>Agreement in place with</w:t>
      </w:r>
      <w:r w:rsidR="00753DFC" w:rsidRPr="00C919EB">
        <w:rPr>
          <w:rFonts w:cs="Arial"/>
        </w:rPr>
        <w:t xml:space="preserve"> </w:t>
      </w:r>
      <w:r w:rsidR="000168F7" w:rsidRPr="00C919EB">
        <w:rPr>
          <w:rFonts w:cs="Arial"/>
        </w:rPr>
        <w:t xml:space="preserve">Oxfordshire </w:t>
      </w:r>
      <w:r w:rsidR="00753DFC" w:rsidRPr="00C919EB">
        <w:rPr>
          <w:rFonts w:cs="Arial"/>
        </w:rPr>
        <w:t>County Council</w:t>
      </w:r>
      <w:r w:rsidR="00493366" w:rsidRPr="00C919EB">
        <w:rPr>
          <w:rFonts w:cs="Arial"/>
        </w:rPr>
        <w:t xml:space="preserve"> </w:t>
      </w:r>
      <w:r w:rsidRPr="00C919EB">
        <w:rPr>
          <w:rFonts w:cs="Arial"/>
        </w:rPr>
        <w:t>f</w:t>
      </w:r>
      <w:r w:rsidR="00753DFC" w:rsidRPr="00C919EB">
        <w:rPr>
          <w:rFonts w:cs="Arial"/>
        </w:rPr>
        <w:t>or the provision of investigation services</w:t>
      </w:r>
      <w:r w:rsidRPr="007B675D">
        <w:rPr>
          <w:rFonts w:cs="Arial"/>
        </w:rPr>
        <w:t>.</w:t>
      </w:r>
      <w:r w:rsidR="00285BDB" w:rsidRPr="007B675D">
        <w:rPr>
          <w:rFonts w:cs="Arial"/>
        </w:rPr>
        <w:t xml:space="preserve"> The team is providing an end to end investigation function which includes</w:t>
      </w:r>
      <w:r w:rsidR="00320230" w:rsidRPr="00C919EB">
        <w:rPr>
          <w:rFonts w:cs="Arial"/>
        </w:rPr>
        <w:t xml:space="preserve"> </w:t>
      </w:r>
      <w:r w:rsidR="00285BDB" w:rsidRPr="00C919EB">
        <w:rPr>
          <w:rFonts w:cs="Arial"/>
        </w:rPr>
        <w:t>logging</w:t>
      </w:r>
      <w:r w:rsidR="00320230" w:rsidRPr="00C919EB">
        <w:rPr>
          <w:rFonts w:cs="Arial"/>
        </w:rPr>
        <w:t xml:space="preserve"> referrals</w:t>
      </w:r>
      <w:r w:rsidR="00285BDB" w:rsidRPr="00C919EB">
        <w:rPr>
          <w:rFonts w:cs="Arial"/>
        </w:rPr>
        <w:t>, reporting, investigating and taking sanction action where appropriate.</w:t>
      </w:r>
      <w:r w:rsidR="00320230" w:rsidRPr="00C919EB">
        <w:rPr>
          <w:rFonts w:cs="Arial"/>
        </w:rPr>
        <w:t xml:space="preserve"> Outcomes </w:t>
      </w:r>
      <w:r w:rsidR="00A60102">
        <w:rPr>
          <w:rFonts w:cs="Arial"/>
        </w:rPr>
        <w:t xml:space="preserve">since the beginning of the agreement </w:t>
      </w:r>
      <w:r w:rsidR="00320230" w:rsidRPr="00C919EB">
        <w:rPr>
          <w:rFonts w:cs="Arial"/>
        </w:rPr>
        <w:t>have included recommendations of civil recovery</w:t>
      </w:r>
      <w:r w:rsidR="000D30F5">
        <w:rPr>
          <w:rFonts w:cs="Arial"/>
        </w:rPr>
        <w:t xml:space="preserve"> of over £35k in overpayments plus legal costs</w:t>
      </w:r>
      <w:r w:rsidR="00595075">
        <w:rPr>
          <w:rFonts w:cs="Arial"/>
        </w:rPr>
        <w:t xml:space="preserve">, </w:t>
      </w:r>
      <w:r w:rsidR="00320230" w:rsidRPr="00C919EB">
        <w:rPr>
          <w:rFonts w:cs="Arial"/>
        </w:rPr>
        <w:t>process improvements to prevent further abuse occurring in specific service areas</w:t>
      </w:r>
      <w:r w:rsidR="00595075">
        <w:rPr>
          <w:rFonts w:cs="Arial"/>
        </w:rPr>
        <w:t>, and disciplinary sanctions against school sta</w:t>
      </w:r>
      <w:r w:rsidR="000D30F5">
        <w:rPr>
          <w:rFonts w:cs="Arial"/>
        </w:rPr>
        <w:t>ff found to be committing fraud (with a management investigation ongoing).</w:t>
      </w:r>
    </w:p>
    <w:p w:rsidR="00C919EB" w:rsidRDefault="00C919EB" w:rsidP="00C919EB">
      <w:pPr>
        <w:pStyle w:val="ListParagraph"/>
        <w:ind w:left="360"/>
        <w:rPr>
          <w:rFonts w:cs="Arial"/>
        </w:rPr>
      </w:pPr>
    </w:p>
    <w:p w:rsidR="006B7BB3" w:rsidRDefault="006B7BB3" w:rsidP="00674107">
      <w:pPr>
        <w:ind w:left="709"/>
        <w:rPr>
          <w:rFonts w:cs="Arial"/>
        </w:rPr>
      </w:pPr>
    </w:p>
    <w:p w:rsidR="006B7BB3" w:rsidRDefault="006B7BB3" w:rsidP="00674107">
      <w:pPr>
        <w:ind w:left="709"/>
        <w:rPr>
          <w:rFonts w:cs="Arial"/>
        </w:rPr>
      </w:pPr>
    </w:p>
    <w:p w:rsidR="00773A80" w:rsidRPr="00674107" w:rsidRDefault="00F645D3" w:rsidP="00674107">
      <w:pPr>
        <w:ind w:left="709"/>
        <w:rPr>
          <w:rFonts w:cs="Arial"/>
        </w:rPr>
      </w:pPr>
      <w:r>
        <w:rPr>
          <w:rFonts w:cs="Arial"/>
        </w:rPr>
        <w:lastRenderedPageBreak/>
        <w:t>A</w:t>
      </w:r>
      <w:r w:rsidR="00C919EB" w:rsidRPr="00674107">
        <w:rPr>
          <w:rFonts w:cs="Arial"/>
        </w:rPr>
        <w:t xml:space="preserve"> p</w:t>
      </w:r>
      <w:r w:rsidR="0064013D" w:rsidRPr="00674107">
        <w:rPr>
          <w:rFonts w:cs="Arial"/>
        </w:rPr>
        <w:t xml:space="preserve">roactive Blue Badge </w:t>
      </w:r>
      <w:r w:rsidR="001C0875">
        <w:rPr>
          <w:rFonts w:cs="Arial"/>
        </w:rPr>
        <w:t>e</w:t>
      </w:r>
      <w:r w:rsidR="0064013D" w:rsidRPr="00674107">
        <w:rPr>
          <w:rFonts w:cs="Arial"/>
        </w:rPr>
        <w:t>nforcement exercise</w:t>
      </w:r>
      <w:r w:rsidR="00C919EB" w:rsidRPr="00674107">
        <w:rPr>
          <w:rFonts w:cs="Arial"/>
        </w:rPr>
        <w:t xml:space="preserve"> was</w:t>
      </w:r>
      <w:r w:rsidR="0064013D" w:rsidRPr="00674107">
        <w:rPr>
          <w:rFonts w:cs="Arial"/>
        </w:rPr>
        <w:t xml:space="preserve"> undertaken on behalf of the County Council under the terms of the Business Agreement. 11 badges </w:t>
      </w:r>
      <w:r w:rsidR="00052BE4" w:rsidRPr="00674107">
        <w:rPr>
          <w:rFonts w:cs="Arial"/>
        </w:rPr>
        <w:t xml:space="preserve">were </w:t>
      </w:r>
      <w:r w:rsidR="0064013D" w:rsidRPr="00674107">
        <w:rPr>
          <w:rFonts w:cs="Arial"/>
        </w:rPr>
        <w:t xml:space="preserve">seized over the course of a 3 day exercise. </w:t>
      </w:r>
      <w:r w:rsidR="000D30F5" w:rsidRPr="00674107">
        <w:rPr>
          <w:rFonts w:cs="Arial"/>
        </w:rPr>
        <w:t>The Service is now considering the best course of action on a case by case basis.</w:t>
      </w:r>
    </w:p>
    <w:p w:rsidR="00773A80" w:rsidRDefault="00773A80" w:rsidP="007B675D">
      <w:pPr>
        <w:ind w:left="1080"/>
        <w:rPr>
          <w:rFonts w:cs="Arial"/>
        </w:rPr>
      </w:pPr>
    </w:p>
    <w:p w:rsidR="00285BDB" w:rsidRDefault="00773A80" w:rsidP="00674107">
      <w:pPr>
        <w:ind w:left="709"/>
        <w:rPr>
          <w:rFonts w:cs="Arial"/>
        </w:rPr>
      </w:pPr>
      <w:r>
        <w:rPr>
          <w:rFonts w:cs="Arial"/>
        </w:rPr>
        <w:t xml:space="preserve">The exercise generated significant positive </w:t>
      </w:r>
      <w:r w:rsidR="0064013D" w:rsidRPr="00C919EB">
        <w:rPr>
          <w:rFonts w:cs="Arial"/>
        </w:rPr>
        <w:t>publicity</w:t>
      </w:r>
      <w:r w:rsidR="006F2651" w:rsidRPr="00C919EB">
        <w:rPr>
          <w:rFonts w:cs="Arial"/>
        </w:rPr>
        <w:t xml:space="preserve"> </w:t>
      </w:r>
      <w:r>
        <w:rPr>
          <w:rFonts w:cs="Arial"/>
        </w:rPr>
        <w:t xml:space="preserve">in the </w:t>
      </w:r>
      <w:r w:rsidR="0064013D" w:rsidRPr="00C919EB">
        <w:rPr>
          <w:rFonts w:cs="Arial"/>
        </w:rPr>
        <w:t>press and radio news articles</w:t>
      </w:r>
      <w:r>
        <w:rPr>
          <w:rFonts w:cs="Arial"/>
        </w:rPr>
        <w:t xml:space="preserve">. Oxfordshire </w:t>
      </w:r>
      <w:r w:rsidR="0064013D" w:rsidRPr="00C919EB">
        <w:rPr>
          <w:rFonts w:cs="Arial"/>
        </w:rPr>
        <w:t xml:space="preserve">County Council </w:t>
      </w:r>
      <w:r>
        <w:rPr>
          <w:rFonts w:cs="Arial"/>
        </w:rPr>
        <w:t xml:space="preserve">elected </w:t>
      </w:r>
      <w:r w:rsidR="0064013D" w:rsidRPr="00C919EB">
        <w:rPr>
          <w:rFonts w:cs="Arial"/>
        </w:rPr>
        <w:t>member</w:t>
      </w:r>
      <w:r>
        <w:rPr>
          <w:rFonts w:cs="Arial"/>
        </w:rPr>
        <w:t>s</w:t>
      </w:r>
      <w:r w:rsidR="0064013D" w:rsidRPr="00C919EB">
        <w:rPr>
          <w:rFonts w:cs="Arial"/>
        </w:rPr>
        <w:t xml:space="preserve"> support</w:t>
      </w:r>
      <w:r>
        <w:rPr>
          <w:rFonts w:cs="Arial"/>
        </w:rPr>
        <w:t>ed the exercise with commendations directly to the team and supporti</w:t>
      </w:r>
      <w:r w:rsidR="00A630FF">
        <w:rPr>
          <w:rFonts w:cs="Arial"/>
        </w:rPr>
        <w:t>ng</w:t>
      </w:r>
      <w:r>
        <w:rPr>
          <w:rFonts w:cs="Arial"/>
        </w:rPr>
        <w:t xml:space="preserve"> statements to the media.</w:t>
      </w:r>
    </w:p>
    <w:p w:rsidR="00A630FF" w:rsidRDefault="00A630FF" w:rsidP="007B675D">
      <w:pPr>
        <w:ind w:left="1080"/>
        <w:rPr>
          <w:rFonts w:cs="Arial"/>
        </w:rPr>
      </w:pPr>
    </w:p>
    <w:p w:rsidR="0064013D" w:rsidRDefault="0064013D" w:rsidP="0064013D">
      <w:pPr>
        <w:ind w:left="1440"/>
        <w:rPr>
          <w:rFonts w:cs="Arial"/>
        </w:rPr>
      </w:pPr>
    </w:p>
    <w:p w:rsidR="00302A89" w:rsidRDefault="005F7ECB" w:rsidP="003D7522">
      <w:pPr>
        <w:pStyle w:val="ListParagraph"/>
        <w:ind w:hanging="294"/>
        <w:rPr>
          <w:rFonts w:cs="Arial"/>
          <w:b/>
        </w:rPr>
      </w:pPr>
      <w:r w:rsidRPr="003D7522">
        <w:rPr>
          <w:rFonts w:cs="Arial"/>
          <w:b/>
        </w:rPr>
        <w:t xml:space="preserve">Legal </w:t>
      </w:r>
      <w:r w:rsidR="007F2EA3">
        <w:rPr>
          <w:rFonts w:cs="Arial"/>
          <w:b/>
        </w:rPr>
        <w:t>Issues</w:t>
      </w:r>
    </w:p>
    <w:p w:rsidR="007F2EA3" w:rsidRPr="003D7522" w:rsidRDefault="007F2EA3" w:rsidP="003D7522">
      <w:pPr>
        <w:pStyle w:val="ListParagraph"/>
        <w:ind w:hanging="294"/>
        <w:rPr>
          <w:rFonts w:cs="Arial"/>
          <w:b/>
        </w:rPr>
      </w:pPr>
    </w:p>
    <w:p w:rsidR="00492497" w:rsidRDefault="00492497" w:rsidP="00E35866">
      <w:pPr>
        <w:pStyle w:val="ListParagraph"/>
        <w:numPr>
          <w:ilvl w:val="0"/>
          <w:numId w:val="2"/>
        </w:numPr>
        <w:rPr>
          <w:rFonts w:cs="Arial"/>
        </w:rPr>
      </w:pPr>
      <w:r w:rsidRPr="00E35866">
        <w:rPr>
          <w:rFonts w:cs="Arial"/>
        </w:rPr>
        <w:t xml:space="preserve">The continuing work of the Investigation </w:t>
      </w:r>
      <w:r w:rsidR="0075252D" w:rsidRPr="00E35866">
        <w:rPr>
          <w:rFonts w:cs="Arial"/>
        </w:rPr>
        <w:t>Team</w:t>
      </w:r>
      <w:r w:rsidRPr="00E35866">
        <w:rPr>
          <w:rFonts w:cs="Arial"/>
        </w:rPr>
        <w:t xml:space="preserve">, coupled with the Council’s Avoiding Bribery, Fraud and Corruption, Whistle </w:t>
      </w:r>
      <w:r w:rsidR="0075252D" w:rsidRPr="00E35866">
        <w:rPr>
          <w:rFonts w:cs="Arial"/>
        </w:rPr>
        <w:t>B</w:t>
      </w:r>
      <w:r w:rsidRPr="00E35866">
        <w:rPr>
          <w:rFonts w:cs="Arial"/>
        </w:rPr>
        <w:t>lowing and Money Laundering policies and procedures</w:t>
      </w:r>
      <w:r w:rsidRPr="00E35866">
        <w:rPr>
          <w:rFonts w:cs="Arial"/>
          <w:b/>
        </w:rPr>
        <w:t xml:space="preserve"> </w:t>
      </w:r>
      <w:r w:rsidRPr="00E35866">
        <w:rPr>
          <w:rFonts w:cs="Arial"/>
        </w:rPr>
        <w:t>give assurance that the Authority is compliant with the Bribery Act 2010, the Money Laundering Regulations 2007 and the Proceeds of Crime Act 2002. Failure to adhere to the Policies would impact on the legal and reputational risk to the Council.</w:t>
      </w:r>
      <w:r w:rsidR="00785D6D">
        <w:rPr>
          <w:rFonts w:cs="Arial"/>
        </w:rPr>
        <w:t xml:space="preserve"> </w:t>
      </w:r>
    </w:p>
    <w:p w:rsidR="00B341A7" w:rsidRDefault="00B341A7" w:rsidP="00785D6D">
      <w:pPr>
        <w:rPr>
          <w:rFonts w:cs="Arial"/>
        </w:rPr>
      </w:pPr>
    </w:p>
    <w:p w:rsidR="00785D6D" w:rsidRDefault="00785D6D" w:rsidP="00785D6D">
      <w:pPr>
        <w:pStyle w:val="ListParagraph"/>
        <w:numPr>
          <w:ilvl w:val="0"/>
          <w:numId w:val="2"/>
        </w:numPr>
        <w:rPr>
          <w:rFonts w:cs="Arial"/>
        </w:rPr>
      </w:pPr>
      <w:r>
        <w:rPr>
          <w:rFonts w:cs="Arial"/>
        </w:rPr>
        <w:t xml:space="preserve">All data sharing </w:t>
      </w:r>
      <w:r w:rsidR="0054789C">
        <w:rPr>
          <w:rFonts w:cs="Arial"/>
        </w:rPr>
        <w:t>both internally and externally is covered by Data Sharing Protocols and is conducted in the interests of prevention and detection of fraud, crime and other financial irregularity, as per the provisions of section 29 of the Data Protection Act 1998.</w:t>
      </w:r>
    </w:p>
    <w:p w:rsidR="00640FDA" w:rsidRDefault="00640FDA" w:rsidP="00640FDA">
      <w:pPr>
        <w:rPr>
          <w:rFonts w:cs="Arial"/>
        </w:rPr>
      </w:pPr>
    </w:p>
    <w:p w:rsidR="00640FDA" w:rsidRPr="00640FDA" w:rsidRDefault="00790EA7" w:rsidP="00640FDA">
      <w:pPr>
        <w:pStyle w:val="ListParagraph"/>
        <w:numPr>
          <w:ilvl w:val="0"/>
          <w:numId w:val="2"/>
        </w:numPr>
        <w:rPr>
          <w:rFonts w:cs="Arial"/>
        </w:rPr>
      </w:pPr>
      <w:r>
        <w:rPr>
          <w:rFonts w:cs="Arial"/>
        </w:rPr>
        <w:t>All contractual a</w:t>
      </w:r>
      <w:r w:rsidR="003203AD">
        <w:rPr>
          <w:rFonts w:cs="Arial"/>
        </w:rPr>
        <w:t xml:space="preserve">greements devised for joint working with other organisations have been </w:t>
      </w:r>
      <w:r w:rsidR="00E3458C">
        <w:rPr>
          <w:rFonts w:cs="Arial"/>
        </w:rPr>
        <w:t xml:space="preserve">agreed with </w:t>
      </w:r>
      <w:r w:rsidR="003203AD">
        <w:rPr>
          <w:rFonts w:cs="Arial"/>
        </w:rPr>
        <w:t>Legal Services.</w:t>
      </w:r>
    </w:p>
    <w:p w:rsidR="00694F2E" w:rsidRDefault="00694F2E">
      <w:pPr>
        <w:rPr>
          <w:rFonts w:cs="Arial"/>
          <w:i/>
        </w:rPr>
      </w:pPr>
    </w:p>
    <w:p w:rsidR="007B6E54" w:rsidRDefault="00115173">
      <w:pPr>
        <w:rPr>
          <w:rFonts w:cs="Arial"/>
          <w:b/>
        </w:rPr>
      </w:pPr>
      <w:r>
        <w:rPr>
          <w:rFonts w:cs="Arial"/>
          <w:b/>
        </w:rPr>
        <w:t xml:space="preserve">      </w:t>
      </w:r>
      <w:r w:rsidR="006109E8">
        <w:rPr>
          <w:rFonts w:cs="Arial"/>
          <w:b/>
        </w:rPr>
        <w:t>Fi</w:t>
      </w:r>
      <w:r w:rsidR="007B6E54" w:rsidRPr="007B6E54">
        <w:rPr>
          <w:rFonts w:cs="Arial"/>
          <w:b/>
        </w:rPr>
        <w:t>nancial I</w:t>
      </w:r>
      <w:r w:rsidR="007F2EA3">
        <w:rPr>
          <w:rFonts w:cs="Arial"/>
          <w:b/>
        </w:rPr>
        <w:t>ssues</w:t>
      </w:r>
    </w:p>
    <w:p w:rsidR="00302A89" w:rsidRDefault="00302A89">
      <w:pPr>
        <w:rPr>
          <w:rFonts w:cs="Arial"/>
          <w:b/>
        </w:rPr>
      </w:pPr>
    </w:p>
    <w:p w:rsidR="00790EA7" w:rsidRPr="00790EA7" w:rsidRDefault="006109E8" w:rsidP="00E35866">
      <w:pPr>
        <w:pStyle w:val="ListParagraph"/>
        <w:numPr>
          <w:ilvl w:val="0"/>
          <w:numId w:val="2"/>
        </w:numPr>
        <w:rPr>
          <w:rFonts w:cs="Arial"/>
          <w:b/>
        </w:rPr>
      </w:pPr>
      <w:r w:rsidRPr="00350F3A">
        <w:rPr>
          <w:rFonts w:cs="Arial"/>
        </w:rPr>
        <w:t>The net cost of the team excluding income from the Housing Revenue Account</w:t>
      </w:r>
      <w:r w:rsidR="00790EA7">
        <w:rPr>
          <w:rFonts w:cs="Arial"/>
        </w:rPr>
        <w:t xml:space="preserve"> for the financial year 2016-</w:t>
      </w:r>
      <w:r w:rsidR="00790EA7" w:rsidRPr="00D345B0">
        <w:rPr>
          <w:rFonts w:cs="Arial"/>
        </w:rPr>
        <w:t>2017 is</w:t>
      </w:r>
      <w:r w:rsidR="00790CC4" w:rsidRPr="00D345B0">
        <w:rPr>
          <w:rFonts w:cs="Arial"/>
        </w:rPr>
        <w:t xml:space="preserve"> </w:t>
      </w:r>
      <w:r w:rsidR="007D3155" w:rsidRPr="00D345B0">
        <w:rPr>
          <w:rFonts w:cs="Arial"/>
        </w:rPr>
        <w:t>£2</w:t>
      </w:r>
      <w:r w:rsidR="00790EA7" w:rsidRPr="00D345B0">
        <w:rPr>
          <w:rFonts w:cs="Arial"/>
        </w:rPr>
        <w:t>34</w:t>
      </w:r>
      <w:r w:rsidR="007D3155" w:rsidRPr="00D345B0">
        <w:rPr>
          <w:rFonts w:cs="Arial"/>
        </w:rPr>
        <w:t>,</w:t>
      </w:r>
      <w:r w:rsidR="00790EA7" w:rsidRPr="00D345B0">
        <w:rPr>
          <w:rFonts w:cs="Arial"/>
        </w:rPr>
        <w:t>0</w:t>
      </w:r>
      <w:r w:rsidR="00A6330A" w:rsidRPr="00D345B0">
        <w:rPr>
          <w:rFonts w:cs="Arial"/>
        </w:rPr>
        <w:t>0</w:t>
      </w:r>
      <w:r w:rsidR="00790EA7" w:rsidRPr="00D345B0">
        <w:rPr>
          <w:rFonts w:cs="Arial"/>
        </w:rPr>
        <w:t>0</w:t>
      </w:r>
      <w:r w:rsidR="00790CC4" w:rsidRPr="00D345B0">
        <w:rPr>
          <w:rFonts w:cs="Arial"/>
        </w:rPr>
        <w:t>.</w:t>
      </w:r>
      <w:r w:rsidR="00790CC4">
        <w:rPr>
          <w:rFonts w:cs="Arial"/>
        </w:rPr>
        <w:t xml:space="preserve"> T</w:t>
      </w:r>
      <w:r w:rsidRPr="00350F3A">
        <w:rPr>
          <w:rFonts w:cs="Arial"/>
        </w:rPr>
        <w:t xml:space="preserve">he team </w:t>
      </w:r>
      <w:r w:rsidR="00790EA7">
        <w:rPr>
          <w:rFonts w:cs="Arial"/>
        </w:rPr>
        <w:t>a</w:t>
      </w:r>
      <w:r w:rsidR="00790CC4">
        <w:rPr>
          <w:rFonts w:cs="Arial"/>
        </w:rPr>
        <w:t xml:space="preserve">re </w:t>
      </w:r>
      <w:r w:rsidRPr="00350F3A">
        <w:rPr>
          <w:rFonts w:cs="Arial"/>
        </w:rPr>
        <w:t xml:space="preserve">charged with </w:t>
      </w:r>
      <w:r w:rsidR="00F07FC9">
        <w:rPr>
          <w:rFonts w:cs="Arial"/>
        </w:rPr>
        <w:t>identifying</w:t>
      </w:r>
      <w:r w:rsidR="00790CC4">
        <w:rPr>
          <w:rFonts w:cs="Arial"/>
        </w:rPr>
        <w:t xml:space="preserve"> fraud,</w:t>
      </w:r>
      <w:r w:rsidR="00F07FC9">
        <w:rPr>
          <w:rFonts w:cs="Arial"/>
        </w:rPr>
        <w:t xml:space="preserve"> error and loss</w:t>
      </w:r>
      <w:r w:rsidR="00790EA7">
        <w:rPr>
          <w:rFonts w:cs="Arial"/>
        </w:rPr>
        <w:t xml:space="preserve"> and are targeted</w:t>
      </w:r>
      <w:r w:rsidRPr="00350F3A">
        <w:rPr>
          <w:rFonts w:cs="Arial"/>
        </w:rPr>
        <w:t xml:space="preserve"> to</w:t>
      </w:r>
      <w:r w:rsidR="00350F3A">
        <w:rPr>
          <w:rFonts w:cs="Arial"/>
        </w:rPr>
        <w:t xml:space="preserve"> </w:t>
      </w:r>
      <w:r w:rsidRPr="00350F3A">
        <w:rPr>
          <w:rFonts w:cs="Arial"/>
        </w:rPr>
        <w:t>recover these costs as an indication of value for money.</w:t>
      </w:r>
      <w:r w:rsidR="00CC54B4" w:rsidRPr="00350F3A">
        <w:rPr>
          <w:rFonts w:cs="Arial"/>
        </w:rPr>
        <w:t xml:space="preserve"> </w:t>
      </w:r>
      <w:r w:rsidR="00790EA7">
        <w:rPr>
          <w:rFonts w:cs="Arial"/>
        </w:rPr>
        <w:t xml:space="preserve">A third of the way through the financial year and the team </w:t>
      </w:r>
      <w:r w:rsidR="0069448D">
        <w:rPr>
          <w:rFonts w:cs="Arial"/>
        </w:rPr>
        <w:t xml:space="preserve">has </w:t>
      </w:r>
      <w:r w:rsidR="00790EA7">
        <w:rPr>
          <w:rFonts w:cs="Arial"/>
        </w:rPr>
        <w:t xml:space="preserve">already </w:t>
      </w:r>
      <w:r w:rsidR="0069448D">
        <w:rPr>
          <w:rFonts w:cs="Arial"/>
        </w:rPr>
        <w:t>identified cashable income of £</w:t>
      </w:r>
      <w:r w:rsidR="00790CC4">
        <w:rPr>
          <w:rFonts w:cs="Arial"/>
        </w:rPr>
        <w:t>6</w:t>
      </w:r>
      <w:r w:rsidR="00790EA7">
        <w:rPr>
          <w:rFonts w:cs="Arial"/>
        </w:rPr>
        <w:t>2</w:t>
      </w:r>
      <w:r w:rsidR="00790CC4">
        <w:rPr>
          <w:rFonts w:cs="Arial"/>
        </w:rPr>
        <w:t>6</w:t>
      </w:r>
      <w:r w:rsidR="00790EA7">
        <w:rPr>
          <w:rFonts w:cs="Arial"/>
        </w:rPr>
        <w:t>,371.</w:t>
      </w:r>
    </w:p>
    <w:p w:rsidR="00D96083" w:rsidRPr="00D96083" w:rsidRDefault="00D96083" w:rsidP="00D96083">
      <w:pPr>
        <w:pStyle w:val="ListParagraph"/>
        <w:rPr>
          <w:rFonts w:cs="Arial"/>
          <w:b/>
        </w:rPr>
      </w:pPr>
    </w:p>
    <w:p w:rsidR="00A710FB" w:rsidRDefault="00A6330A" w:rsidP="00144900">
      <w:pPr>
        <w:pStyle w:val="ListParagraph"/>
        <w:ind w:left="360"/>
        <w:rPr>
          <w:rFonts w:cs="Arial"/>
          <w:b/>
        </w:rPr>
      </w:pPr>
      <w:r w:rsidRPr="00EB343E">
        <w:rPr>
          <w:rFonts w:cs="Arial"/>
        </w:rPr>
        <w:t xml:space="preserve">In addition to cashable </w:t>
      </w:r>
      <w:r w:rsidR="001E59B8" w:rsidRPr="00EB343E">
        <w:rPr>
          <w:rFonts w:cs="Arial"/>
        </w:rPr>
        <w:t xml:space="preserve">revenue </w:t>
      </w:r>
      <w:r w:rsidRPr="00EB343E">
        <w:rPr>
          <w:rFonts w:cs="Arial"/>
        </w:rPr>
        <w:t xml:space="preserve">and </w:t>
      </w:r>
      <w:r w:rsidR="001E59B8" w:rsidRPr="00EB343E">
        <w:rPr>
          <w:rFonts w:cs="Arial"/>
        </w:rPr>
        <w:t>non-cashable</w:t>
      </w:r>
      <w:r w:rsidRPr="00EB343E">
        <w:rPr>
          <w:rFonts w:cs="Arial"/>
        </w:rPr>
        <w:t xml:space="preserve"> savings generated</w:t>
      </w:r>
      <w:r w:rsidR="00BA5CEB" w:rsidRPr="00EB343E">
        <w:rPr>
          <w:rFonts w:cs="Arial"/>
        </w:rPr>
        <w:t xml:space="preserve"> internally, </w:t>
      </w:r>
      <w:r w:rsidRPr="00EB343E">
        <w:rPr>
          <w:rFonts w:cs="Arial"/>
        </w:rPr>
        <w:t xml:space="preserve">the Investigation Team has undertaken work on behalf of other </w:t>
      </w:r>
      <w:r w:rsidR="00BA5CEB" w:rsidRPr="00EB343E">
        <w:rPr>
          <w:rFonts w:cs="Arial"/>
        </w:rPr>
        <w:t xml:space="preserve">authorities </w:t>
      </w:r>
      <w:r w:rsidR="008936C3" w:rsidRPr="00EB343E">
        <w:rPr>
          <w:rFonts w:cs="Arial"/>
        </w:rPr>
        <w:t xml:space="preserve">generating </w:t>
      </w:r>
      <w:r w:rsidR="00F57CCB" w:rsidRPr="00EB343E">
        <w:rPr>
          <w:rFonts w:cs="Arial"/>
        </w:rPr>
        <w:t>income to date of £</w:t>
      </w:r>
      <w:r w:rsidR="001E59B8" w:rsidRPr="00EB343E">
        <w:rPr>
          <w:rFonts w:cs="Arial"/>
        </w:rPr>
        <w:t>72,500 (January to July 2016)</w:t>
      </w:r>
      <w:r w:rsidR="008936C3" w:rsidRPr="00EB343E">
        <w:rPr>
          <w:rFonts w:cs="Arial"/>
        </w:rPr>
        <w:t xml:space="preserve">.  The </w:t>
      </w:r>
      <w:r w:rsidR="00F57CCB" w:rsidRPr="00EB343E">
        <w:rPr>
          <w:rFonts w:cs="Arial"/>
        </w:rPr>
        <w:t>forecast</w:t>
      </w:r>
      <w:r w:rsidR="008936C3" w:rsidRPr="00EB343E">
        <w:rPr>
          <w:rFonts w:cs="Arial"/>
        </w:rPr>
        <w:t xml:space="preserve"> for external </w:t>
      </w:r>
      <w:r w:rsidR="00F57CCB" w:rsidRPr="00EB343E">
        <w:rPr>
          <w:rFonts w:cs="Arial"/>
        </w:rPr>
        <w:t xml:space="preserve">income for the </w:t>
      </w:r>
      <w:r w:rsidR="001E59B8" w:rsidRPr="00EB343E">
        <w:rPr>
          <w:rFonts w:cs="Arial"/>
        </w:rPr>
        <w:t xml:space="preserve">financial </w:t>
      </w:r>
      <w:r w:rsidR="00F57CCB" w:rsidRPr="00EB343E">
        <w:rPr>
          <w:rFonts w:cs="Arial"/>
        </w:rPr>
        <w:t xml:space="preserve">year </w:t>
      </w:r>
      <w:r w:rsidR="00EB343E" w:rsidRPr="00EB343E">
        <w:rPr>
          <w:rFonts w:cs="Arial"/>
        </w:rPr>
        <w:t xml:space="preserve">based on current commitments </w:t>
      </w:r>
      <w:r w:rsidR="008936C3" w:rsidRPr="00EB343E">
        <w:rPr>
          <w:rFonts w:cs="Arial"/>
        </w:rPr>
        <w:t xml:space="preserve">is </w:t>
      </w:r>
      <w:r w:rsidR="00F57CCB" w:rsidRPr="00EB343E">
        <w:rPr>
          <w:rFonts w:cs="Arial"/>
        </w:rPr>
        <w:t>£</w:t>
      </w:r>
      <w:r w:rsidR="001E59B8" w:rsidRPr="00EB343E">
        <w:rPr>
          <w:rFonts w:cs="Arial"/>
        </w:rPr>
        <w:t>124,300</w:t>
      </w:r>
      <w:r w:rsidR="00F57CCB" w:rsidRPr="00EB343E">
        <w:rPr>
          <w:rFonts w:cs="Arial"/>
        </w:rPr>
        <w:t xml:space="preserve">. </w:t>
      </w:r>
      <w:r w:rsidR="00EB343E" w:rsidRPr="00EB343E">
        <w:rPr>
          <w:rFonts w:cs="Arial"/>
        </w:rPr>
        <w:t xml:space="preserve">  However, i</w:t>
      </w:r>
      <w:r w:rsidR="001E59B8" w:rsidRPr="00EB343E">
        <w:rPr>
          <w:rFonts w:cs="Arial"/>
        </w:rPr>
        <w:t xml:space="preserve">t is </w:t>
      </w:r>
      <w:r w:rsidR="00EB343E" w:rsidRPr="00EB343E">
        <w:rPr>
          <w:rFonts w:cs="Arial"/>
        </w:rPr>
        <w:t xml:space="preserve">hoped </w:t>
      </w:r>
      <w:r w:rsidR="001E59B8" w:rsidRPr="00EB343E">
        <w:rPr>
          <w:rFonts w:cs="Arial"/>
        </w:rPr>
        <w:t xml:space="preserve">the team Open Day in September will give rise to new business opportunities. </w:t>
      </w:r>
    </w:p>
    <w:p w:rsidR="006B7BB3" w:rsidRDefault="006B7BB3">
      <w:pPr>
        <w:rPr>
          <w:rFonts w:cs="Arial"/>
          <w:b/>
        </w:rPr>
      </w:pPr>
    </w:p>
    <w:p w:rsidR="006B7BB3" w:rsidRDefault="006B7BB3">
      <w:pPr>
        <w:rPr>
          <w:rFonts w:cs="Arial"/>
          <w:b/>
        </w:rPr>
      </w:pPr>
    </w:p>
    <w:p w:rsidR="006B7BB3" w:rsidRDefault="006B7BB3">
      <w:pPr>
        <w:rPr>
          <w:rFonts w:cs="Arial"/>
          <w:b/>
        </w:rPr>
      </w:pPr>
    </w:p>
    <w:p w:rsidR="006B7BB3" w:rsidRDefault="006B7BB3">
      <w:pPr>
        <w:rPr>
          <w:rFonts w:cs="Arial"/>
          <w:b/>
        </w:rPr>
      </w:pPr>
    </w:p>
    <w:p w:rsidR="006B7BB3" w:rsidRDefault="006B7BB3">
      <w:pPr>
        <w:rPr>
          <w:rFonts w:cs="Arial"/>
          <w:b/>
        </w:rPr>
      </w:pPr>
    </w:p>
    <w:p w:rsidR="006B7BB3" w:rsidRDefault="006B7BB3">
      <w:pPr>
        <w:rPr>
          <w:rFonts w:cs="Arial"/>
          <w:b/>
        </w:rPr>
      </w:pPr>
    </w:p>
    <w:p w:rsidR="007B6E54" w:rsidRDefault="007B6E54">
      <w:pPr>
        <w:rPr>
          <w:rFonts w:cs="Arial"/>
          <w:b/>
        </w:rPr>
      </w:pPr>
      <w:r>
        <w:rPr>
          <w:rFonts w:cs="Arial"/>
          <w:b/>
        </w:rPr>
        <w:lastRenderedPageBreak/>
        <w:t>Environmental Impact</w:t>
      </w:r>
    </w:p>
    <w:p w:rsidR="007B6E54" w:rsidRDefault="007B6E54">
      <w:pPr>
        <w:rPr>
          <w:rFonts w:cs="Arial"/>
          <w:b/>
        </w:rPr>
      </w:pPr>
    </w:p>
    <w:p w:rsidR="007B6E54" w:rsidRDefault="0093585C" w:rsidP="00E35866">
      <w:pPr>
        <w:pStyle w:val="ListParagraph"/>
        <w:numPr>
          <w:ilvl w:val="0"/>
          <w:numId w:val="2"/>
        </w:numPr>
        <w:rPr>
          <w:rFonts w:cs="Arial"/>
        </w:rPr>
      </w:pPr>
      <w:r w:rsidRPr="00B65FC8">
        <w:rPr>
          <w:rFonts w:cs="Arial"/>
        </w:rPr>
        <w:t xml:space="preserve">The majority of visits undertaken by staff </w:t>
      </w:r>
      <w:r w:rsidR="00F07FC9">
        <w:rPr>
          <w:rFonts w:cs="Arial"/>
        </w:rPr>
        <w:t>i</w:t>
      </w:r>
      <w:r w:rsidRPr="00B65FC8">
        <w:rPr>
          <w:rFonts w:cs="Arial"/>
        </w:rPr>
        <w:t xml:space="preserve">n the </w:t>
      </w:r>
      <w:r w:rsidR="00F07FC9">
        <w:rPr>
          <w:rFonts w:cs="Arial"/>
        </w:rPr>
        <w:t>T</w:t>
      </w:r>
      <w:r w:rsidRPr="00B65FC8">
        <w:rPr>
          <w:rFonts w:cs="Arial"/>
        </w:rPr>
        <w:t xml:space="preserve">eam are done using the Council pool vehicles. All staff </w:t>
      </w:r>
      <w:proofErr w:type="gramStart"/>
      <w:r w:rsidRPr="00B65FC8">
        <w:rPr>
          <w:rFonts w:cs="Arial"/>
        </w:rPr>
        <w:t>are</w:t>
      </w:r>
      <w:proofErr w:type="gramEnd"/>
      <w:r w:rsidRPr="00B65FC8">
        <w:rPr>
          <w:rFonts w:cs="Arial"/>
        </w:rPr>
        <w:t xml:space="preserve"> </w:t>
      </w:r>
      <w:r w:rsidR="00106937">
        <w:rPr>
          <w:rFonts w:cs="Arial"/>
        </w:rPr>
        <w:t>conscious of the environmental implications of service delivery and will always seek the low</w:t>
      </w:r>
      <w:r w:rsidR="00402823">
        <w:rPr>
          <w:rFonts w:cs="Arial"/>
        </w:rPr>
        <w:t>est impact route where possible.</w:t>
      </w:r>
    </w:p>
    <w:p w:rsidR="00F645D3" w:rsidRDefault="00F645D3" w:rsidP="007F2EA3">
      <w:pPr>
        <w:ind w:left="360"/>
        <w:rPr>
          <w:rFonts w:cs="Arial"/>
          <w:b/>
        </w:rPr>
      </w:pPr>
    </w:p>
    <w:p w:rsidR="007F2EA3" w:rsidRDefault="007F2EA3" w:rsidP="007F2EA3">
      <w:pPr>
        <w:ind w:left="360"/>
        <w:rPr>
          <w:rFonts w:cs="Arial"/>
          <w:b/>
        </w:rPr>
      </w:pPr>
      <w:r>
        <w:rPr>
          <w:rFonts w:cs="Arial"/>
          <w:b/>
        </w:rPr>
        <w:t>Level of Risk</w:t>
      </w:r>
    </w:p>
    <w:p w:rsidR="007F2EA3" w:rsidRDefault="007F2EA3" w:rsidP="007F2EA3">
      <w:pPr>
        <w:rPr>
          <w:rFonts w:cs="Arial"/>
          <w:b/>
        </w:rPr>
      </w:pPr>
    </w:p>
    <w:p w:rsidR="007F2EA3" w:rsidRPr="00B65FC8" w:rsidRDefault="007F2EA3" w:rsidP="007F2EA3">
      <w:pPr>
        <w:pStyle w:val="ListParagraph"/>
        <w:numPr>
          <w:ilvl w:val="0"/>
          <w:numId w:val="2"/>
        </w:numPr>
        <w:rPr>
          <w:rFonts w:cs="Arial"/>
        </w:rPr>
      </w:pPr>
      <w:r w:rsidRPr="00B65FC8">
        <w:rPr>
          <w:rFonts w:cs="Arial"/>
        </w:rPr>
        <w:t>The risk of fraud both from within the Council</w:t>
      </w:r>
      <w:r>
        <w:rPr>
          <w:rFonts w:cs="Arial"/>
        </w:rPr>
        <w:t>’</w:t>
      </w:r>
      <w:r w:rsidRPr="00B65FC8">
        <w:rPr>
          <w:rFonts w:cs="Arial"/>
        </w:rPr>
        <w:t>s business and impacting on the Council</w:t>
      </w:r>
      <w:r>
        <w:rPr>
          <w:rFonts w:cs="Arial"/>
        </w:rPr>
        <w:t>’</w:t>
      </w:r>
      <w:r w:rsidRPr="00B65FC8">
        <w:rPr>
          <w:rFonts w:cs="Arial"/>
        </w:rPr>
        <w:t>s business may be significant. The maintaining of a fraud investigation resource</w:t>
      </w:r>
      <w:r w:rsidR="00D96083">
        <w:rPr>
          <w:rFonts w:cs="Arial"/>
        </w:rPr>
        <w:t xml:space="preserve"> is essential in acting a</w:t>
      </w:r>
      <w:r w:rsidRPr="00B65FC8">
        <w:rPr>
          <w:rFonts w:cs="Arial"/>
        </w:rPr>
        <w:t xml:space="preserve">s a deterrent to fraudulent activity and </w:t>
      </w:r>
      <w:r w:rsidR="00D96083">
        <w:rPr>
          <w:rFonts w:cs="Arial"/>
        </w:rPr>
        <w:t xml:space="preserve">safeguarding the organisation. The income generated and losses prevented from team activity </w:t>
      </w:r>
      <w:r w:rsidRPr="00B65FC8">
        <w:rPr>
          <w:rFonts w:cs="Arial"/>
        </w:rPr>
        <w:t>more than offset the cost of running the Investigating Team</w:t>
      </w:r>
      <w:r w:rsidR="00D96083">
        <w:rPr>
          <w:rFonts w:cs="Arial"/>
        </w:rPr>
        <w:t>.</w:t>
      </w:r>
    </w:p>
    <w:p w:rsidR="00E35866" w:rsidRPr="00E35866" w:rsidRDefault="00E35866" w:rsidP="00E35866">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E55FA1" w:rsidP="00855C66">
            <w:pPr>
              <w:tabs>
                <w:tab w:val="left" w:pos="720"/>
                <w:tab w:val="left" w:pos="1440"/>
                <w:tab w:val="left" w:pos="2160"/>
                <w:tab w:val="left" w:pos="2880"/>
              </w:tabs>
            </w:pPr>
            <w:r>
              <w:t>Scott Warner</w:t>
            </w:r>
          </w:p>
        </w:tc>
      </w:tr>
      <w:tr w:rsidR="00713675">
        <w:tc>
          <w:tcPr>
            <w:tcW w:w="8522" w:type="dxa"/>
          </w:tcPr>
          <w:p w:rsidR="00713675" w:rsidRDefault="00E55FA1" w:rsidP="00855C66">
            <w:pPr>
              <w:tabs>
                <w:tab w:val="left" w:pos="720"/>
                <w:tab w:val="left" w:pos="1440"/>
                <w:tab w:val="left" w:pos="2160"/>
                <w:tab w:val="left" w:pos="2880"/>
              </w:tabs>
            </w:pPr>
            <w:r>
              <w:t>Investigations Manager</w:t>
            </w:r>
          </w:p>
        </w:tc>
      </w:tr>
      <w:tr w:rsidR="00713675">
        <w:tc>
          <w:tcPr>
            <w:tcW w:w="8522" w:type="dxa"/>
          </w:tcPr>
          <w:p w:rsidR="00713675" w:rsidRDefault="00DD3D8A" w:rsidP="00E55FA1">
            <w:pPr>
              <w:tabs>
                <w:tab w:val="left" w:pos="720"/>
                <w:tab w:val="left" w:pos="1440"/>
                <w:tab w:val="left" w:pos="2160"/>
                <w:tab w:val="left" w:pos="2880"/>
              </w:tabs>
            </w:pPr>
            <w:r>
              <w:t>Financial Services</w:t>
            </w:r>
            <w:r w:rsidR="00713675">
              <w:t xml:space="preserve"> / </w:t>
            </w:r>
            <w:r w:rsidR="00E55FA1">
              <w:t>Corporate Investigation Team</w:t>
            </w:r>
          </w:p>
        </w:tc>
      </w:tr>
      <w:tr w:rsidR="00713675">
        <w:tc>
          <w:tcPr>
            <w:tcW w:w="8522" w:type="dxa"/>
          </w:tcPr>
          <w:p w:rsidR="00713675" w:rsidRDefault="00713675" w:rsidP="00E55FA1">
            <w:pPr>
              <w:tabs>
                <w:tab w:val="left" w:pos="720"/>
                <w:tab w:val="left" w:pos="1440"/>
                <w:tab w:val="left" w:pos="2160"/>
                <w:tab w:val="left" w:pos="2880"/>
              </w:tabs>
              <w:rPr>
                <w:color w:val="0000FF"/>
                <w:u w:val="single"/>
              </w:rPr>
            </w:pPr>
            <w:r>
              <w:t xml:space="preserve">Tel:  01865 </w:t>
            </w:r>
            <w:r w:rsidR="00E55FA1">
              <w:t>252158</w:t>
            </w:r>
            <w:r>
              <w:t xml:space="preserve">  e-mail:  </w:t>
            </w:r>
            <w:r w:rsidR="00E55FA1">
              <w:t>swarner2@oxford.gov.uk</w:t>
            </w:r>
          </w:p>
        </w:tc>
      </w:tr>
    </w:tbl>
    <w:p w:rsidR="00F4367A" w:rsidRDefault="00F4367A" w:rsidP="00BF6592">
      <w:pPr>
        <w:rPr>
          <w:rFonts w:cs="Arial"/>
          <w:b/>
          <w:bCs/>
          <w:sz w:val="20"/>
        </w:rPr>
      </w:pPr>
    </w:p>
    <w:sectPr w:rsidR="00F4367A">
      <w:footerReference w:type="default" r:id="rId11"/>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264" w:rsidRDefault="00FA7264">
      <w:r>
        <w:separator/>
      </w:r>
    </w:p>
  </w:endnote>
  <w:endnote w:type="continuationSeparator" w:id="0">
    <w:p w:rsidR="00FA7264" w:rsidRDefault="00FA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482027"/>
      <w:docPartObj>
        <w:docPartGallery w:val="Page Numbers (Bottom of Page)"/>
        <w:docPartUnique/>
      </w:docPartObj>
    </w:sdtPr>
    <w:sdtEndPr>
      <w:rPr>
        <w:noProof/>
      </w:rPr>
    </w:sdtEndPr>
    <w:sdtContent>
      <w:p w:rsidR="00036F46" w:rsidRDefault="00036F46">
        <w:pPr>
          <w:pStyle w:val="Footer"/>
          <w:jc w:val="right"/>
        </w:pPr>
        <w:r>
          <w:fldChar w:fldCharType="begin"/>
        </w:r>
        <w:r>
          <w:instrText xml:space="preserve"> PAGE   \* MERGEFORMAT </w:instrText>
        </w:r>
        <w:r>
          <w:fldChar w:fldCharType="separate"/>
        </w:r>
        <w:r w:rsidR="000A5B88">
          <w:rPr>
            <w:noProof/>
          </w:rPr>
          <w:t>1</w:t>
        </w:r>
        <w:r>
          <w:rPr>
            <w:noProof/>
          </w:rPr>
          <w:fldChar w:fldCharType="end"/>
        </w:r>
      </w:p>
    </w:sdtContent>
  </w:sdt>
  <w:p w:rsidR="00036F46" w:rsidRDefault="00036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264" w:rsidRDefault="00FA7264">
      <w:r>
        <w:separator/>
      </w:r>
    </w:p>
  </w:footnote>
  <w:footnote w:type="continuationSeparator" w:id="0">
    <w:p w:rsidR="00FA7264" w:rsidRDefault="00FA7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C2"/>
    <w:multiLevelType w:val="hybridMultilevel"/>
    <w:tmpl w:val="F03CE33A"/>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2BD7EC1"/>
    <w:multiLevelType w:val="hybridMultilevel"/>
    <w:tmpl w:val="557874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6BD0744"/>
    <w:multiLevelType w:val="hybridMultilevel"/>
    <w:tmpl w:val="D9ECBB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B605A1A"/>
    <w:multiLevelType w:val="hybridMultilevel"/>
    <w:tmpl w:val="4E78C9D8"/>
    <w:lvl w:ilvl="0" w:tplc="BB6A77C8">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1487FF8"/>
    <w:multiLevelType w:val="hybridMultilevel"/>
    <w:tmpl w:val="C164CD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BA164C"/>
    <w:multiLevelType w:val="hybridMultilevel"/>
    <w:tmpl w:val="320A0CDA"/>
    <w:lvl w:ilvl="0" w:tplc="BB6A77C8">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507CD3"/>
    <w:multiLevelType w:val="hybridMultilevel"/>
    <w:tmpl w:val="15EC5F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A677D92"/>
    <w:multiLevelType w:val="hybridMultilevel"/>
    <w:tmpl w:val="5D96C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EF17ECE"/>
    <w:multiLevelType w:val="hybridMultilevel"/>
    <w:tmpl w:val="5BB0F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5582374"/>
    <w:multiLevelType w:val="hybridMultilevel"/>
    <w:tmpl w:val="C2FE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6A2962"/>
    <w:multiLevelType w:val="hybridMultilevel"/>
    <w:tmpl w:val="9FA87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8B46EC"/>
    <w:multiLevelType w:val="hybridMultilevel"/>
    <w:tmpl w:val="42EA8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4A52FF"/>
    <w:multiLevelType w:val="hybridMultilevel"/>
    <w:tmpl w:val="8B98F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500D39"/>
    <w:multiLevelType w:val="hybridMultilevel"/>
    <w:tmpl w:val="FB42D7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55392ABA"/>
    <w:multiLevelType w:val="hybridMultilevel"/>
    <w:tmpl w:val="B0AC4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7FB132E"/>
    <w:multiLevelType w:val="hybridMultilevel"/>
    <w:tmpl w:val="24ECCEF6"/>
    <w:lvl w:ilvl="0" w:tplc="BB6A77C8">
      <w:start w:val="1"/>
      <w:numFmt w:val="decimal"/>
      <w:lvlText w:val="%1."/>
      <w:lvlJc w:val="left"/>
      <w:pPr>
        <w:ind w:left="114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nsid w:val="5B9D627C"/>
    <w:multiLevelType w:val="hybridMultilevel"/>
    <w:tmpl w:val="0F2EC066"/>
    <w:lvl w:ilvl="0" w:tplc="CD886F06">
      <w:start w:val="1"/>
      <w:numFmt w:val="lowerLetter"/>
      <w:lvlText w:val="%1."/>
      <w:lvlJc w:val="left"/>
      <w:pPr>
        <w:ind w:left="108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E9383F"/>
    <w:multiLevelType w:val="hybridMultilevel"/>
    <w:tmpl w:val="F470EC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B659A6"/>
    <w:multiLevelType w:val="hybridMultilevel"/>
    <w:tmpl w:val="1ADCB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FB3C57"/>
    <w:multiLevelType w:val="hybridMultilevel"/>
    <w:tmpl w:val="CA0010A6"/>
    <w:lvl w:ilvl="0" w:tplc="65165CC6">
      <w:start w:val="1"/>
      <w:numFmt w:val="decimal"/>
      <w:lvlText w:val="%1."/>
      <w:lvlJc w:val="left"/>
      <w:pPr>
        <w:ind w:left="786"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724A529E"/>
    <w:multiLevelType w:val="hybridMultilevel"/>
    <w:tmpl w:val="93D02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975843"/>
    <w:multiLevelType w:val="hybridMultilevel"/>
    <w:tmpl w:val="61E4D3A4"/>
    <w:lvl w:ilvl="0" w:tplc="BB6A77C8">
      <w:start w:val="1"/>
      <w:numFmt w:val="decimal"/>
      <w:lvlText w:val="%1."/>
      <w:lvlJc w:val="left"/>
      <w:pPr>
        <w:ind w:left="360" w:hanging="360"/>
      </w:pPr>
      <w:rPr>
        <w:b w:val="0"/>
      </w:rPr>
    </w:lvl>
    <w:lvl w:ilvl="1" w:tplc="32D8D438">
      <w:start w:val="1"/>
      <w:numFmt w:val="lowerLetter"/>
      <w:lvlText w:val="%2."/>
      <w:lvlJc w:val="left"/>
      <w:pPr>
        <w:ind w:left="1080" w:hanging="360"/>
      </w:pPr>
      <w:rPr>
        <w:b w:val="0"/>
        <w:color w:val="auto"/>
      </w:rPr>
    </w:lvl>
    <w:lvl w:ilvl="2" w:tplc="0809001B">
      <w:start w:val="1"/>
      <w:numFmt w:val="lowerRoman"/>
      <w:lvlText w:val="%3."/>
      <w:lvlJc w:val="righ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6BA7F88"/>
    <w:multiLevelType w:val="hybridMultilevel"/>
    <w:tmpl w:val="A2AC34EC"/>
    <w:lvl w:ilvl="0" w:tplc="BB6A77C8">
      <w:start w:val="1"/>
      <w:numFmt w:val="decimal"/>
      <w:lvlText w:val="%1."/>
      <w:lvlJc w:val="left"/>
      <w:pPr>
        <w:ind w:left="732" w:hanging="360"/>
      </w:pPr>
      <w:rPr>
        <w:b w:val="0"/>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4">
    <w:nsid w:val="7AA554A6"/>
    <w:multiLevelType w:val="hybridMultilevel"/>
    <w:tmpl w:val="6C6CF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20"/>
  </w:num>
  <w:num w:numId="4">
    <w:abstractNumId w:val="14"/>
  </w:num>
  <w:num w:numId="5">
    <w:abstractNumId w:val="24"/>
  </w:num>
  <w:num w:numId="6">
    <w:abstractNumId w:val="21"/>
  </w:num>
  <w:num w:numId="7">
    <w:abstractNumId w:val="13"/>
  </w:num>
  <w:num w:numId="8">
    <w:abstractNumId w:val="11"/>
  </w:num>
  <w:num w:numId="9">
    <w:abstractNumId w:val="15"/>
  </w:num>
  <w:num w:numId="10">
    <w:abstractNumId w:val="10"/>
  </w:num>
  <w:num w:numId="11">
    <w:abstractNumId w:val="9"/>
  </w:num>
  <w:num w:numId="12">
    <w:abstractNumId w:val="6"/>
  </w:num>
  <w:num w:numId="13">
    <w:abstractNumId w:val="19"/>
  </w:num>
  <w:num w:numId="14">
    <w:abstractNumId w:val="4"/>
  </w:num>
  <w:num w:numId="15">
    <w:abstractNumId w:val="2"/>
  </w:num>
  <w:num w:numId="16">
    <w:abstractNumId w:val="3"/>
  </w:num>
  <w:num w:numId="17">
    <w:abstractNumId w:val="17"/>
  </w:num>
  <w:num w:numId="18">
    <w:abstractNumId w:val="16"/>
  </w:num>
  <w:num w:numId="19">
    <w:abstractNumId w:val="23"/>
  </w:num>
  <w:num w:numId="20">
    <w:abstractNumId w:val="22"/>
  </w:num>
  <w:num w:numId="21">
    <w:abstractNumId w:val="18"/>
  </w:num>
  <w:num w:numId="22">
    <w:abstractNumId w:val="8"/>
  </w:num>
  <w:num w:numId="23">
    <w:abstractNumId w:val="5"/>
  </w:num>
  <w:num w:numId="24">
    <w:abstractNumId w:val="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9A5"/>
    <w:rsid w:val="00006D48"/>
    <w:rsid w:val="000131A8"/>
    <w:rsid w:val="00016121"/>
    <w:rsid w:val="000168F7"/>
    <w:rsid w:val="00022DF4"/>
    <w:rsid w:val="00026745"/>
    <w:rsid w:val="00030F54"/>
    <w:rsid w:val="00032229"/>
    <w:rsid w:val="00036F46"/>
    <w:rsid w:val="00052BE4"/>
    <w:rsid w:val="00054FBB"/>
    <w:rsid w:val="00056263"/>
    <w:rsid w:val="0006156F"/>
    <w:rsid w:val="00061BBD"/>
    <w:rsid w:val="0006271F"/>
    <w:rsid w:val="00083DAF"/>
    <w:rsid w:val="000952CD"/>
    <w:rsid w:val="000A5B88"/>
    <w:rsid w:val="000B234E"/>
    <w:rsid w:val="000B353D"/>
    <w:rsid w:val="000B6D93"/>
    <w:rsid w:val="000C3928"/>
    <w:rsid w:val="000C4BAF"/>
    <w:rsid w:val="000D30F5"/>
    <w:rsid w:val="000D4BAE"/>
    <w:rsid w:val="000E3A8A"/>
    <w:rsid w:val="000E3C8F"/>
    <w:rsid w:val="000E6B3C"/>
    <w:rsid w:val="000F6C67"/>
    <w:rsid w:val="001046A6"/>
    <w:rsid w:val="00106937"/>
    <w:rsid w:val="001137DA"/>
    <w:rsid w:val="001143CE"/>
    <w:rsid w:val="00115173"/>
    <w:rsid w:val="00123F3B"/>
    <w:rsid w:val="001309C9"/>
    <w:rsid w:val="0013241E"/>
    <w:rsid w:val="00140080"/>
    <w:rsid w:val="00144900"/>
    <w:rsid w:val="00165AB5"/>
    <w:rsid w:val="001660D3"/>
    <w:rsid w:val="0016784F"/>
    <w:rsid w:val="0017091A"/>
    <w:rsid w:val="00172E8A"/>
    <w:rsid w:val="00173F5F"/>
    <w:rsid w:val="001744A4"/>
    <w:rsid w:val="001850B6"/>
    <w:rsid w:val="00187847"/>
    <w:rsid w:val="001878F4"/>
    <w:rsid w:val="001974C0"/>
    <w:rsid w:val="001B1B55"/>
    <w:rsid w:val="001B2B99"/>
    <w:rsid w:val="001C0875"/>
    <w:rsid w:val="001C2BEE"/>
    <w:rsid w:val="001D31E1"/>
    <w:rsid w:val="001D5732"/>
    <w:rsid w:val="001D76DE"/>
    <w:rsid w:val="001E0E9F"/>
    <w:rsid w:val="001E29B3"/>
    <w:rsid w:val="001E59B8"/>
    <w:rsid w:val="001E6847"/>
    <w:rsid w:val="001E6C28"/>
    <w:rsid w:val="001E7E61"/>
    <w:rsid w:val="00201566"/>
    <w:rsid w:val="002133FC"/>
    <w:rsid w:val="0021614D"/>
    <w:rsid w:val="00225E90"/>
    <w:rsid w:val="002313E2"/>
    <w:rsid w:val="00235785"/>
    <w:rsid w:val="00244913"/>
    <w:rsid w:val="002513A0"/>
    <w:rsid w:val="00257142"/>
    <w:rsid w:val="002617EF"/>
    <w:rsid w:val="00262002"/>
    <w:rsid w:val="002704EB"/>
    <w:rsid w:val="00274BC1"/>
    <w:rsid w:val="0027761A"/>
    <w:rsid w:val="0028256B"/>
    <w:rsid w:val="00283DE0"/>
    <w:rsid w:val="00285BDB"/>
    <w:rsid w:val="002932BC"/>
    <w:rsid w:val="00295245"/>
    <w:rsid w:val="00297E04"/>
    <w:rsid w:val="002A48DC"/>
    <w:rsid w:val="002B7E3D"/>
    <w:rsid w:val="002C1A19"/>
    <w:rsid w:val="002C38EB"/>
    <w:rsid w:val="002D3D47"/>
    <w:rsid w:val="002E0FC4"/>
    <w:rsid w:val="00302A89"/>
    <w:rsid w:val="00302AD0"/>
    <w:rsid w:val="00302C1D"/>
    <w:rsid w:val="00316323"/>
    <w:rsid w:val="00316DEA"/>
    <w:rsid w:val="00320230"/>
    <w:rsid w:val="003203AD"/>
    <w:rsid w:val="00324DA2"/>
    <w:rsid w:val="003367B7"/>
    <w:rsid w:val="00340B34"/>
    <w:rsid w:val="00341D2E"/>
    <w:rsid w:val="00350F3A"/>
    <w:rsid w:val="00364C98"/>
    <w:rsid w:val="00365ADB"/>
    <w:rsid w:val="003677F2"/>
    <w:rsid w:val="003A0019"/>
    <w:rsid w:val="003A27B1"/>
    <w:rsid w:val="003D0AE3"/>
    <w:rsid w:val="003D2C71"/>
    <w:rsid w:val="003D7522"/>
    <w:rsid w:val="003F04A4"/>
    <w:rsid w:val="003F6233"/>
    <w:rsid w:val="0040038D"/>
    <w:rsid w:val="00402823"/>
    <w:rsid w:val="00406728"/>
    <w:rsid w:val="00410548"/>
    <w:rsid w:val="004272B8"/>
    <w:rsid w:val="00447892"/>
    <w:rsid w:val="00465EAF"/>
    <w:rsid w:val="0047428F"/>
    <w:rsid w:val="004761D2"/>
    <w:rsid w:val="00476314"/>
    <w:rsid w:val="004832DF"/>
    <w:rsid w:val="00486F1C"/>
    <w:rsid w:val="004870FB"/>
    <w:rsid w:val="00491015"/>
    <w:rsid w:val="00492497"/>
    <w:rsid w:val="00493366"/>
    <w:rsid w:val="00494E8C"/>
    <w:rsid w:val="00495346"/>
    <w:rsid w:val="00495B9F"/>
    <w:rsid w:val="004A155C"/>
    <w:rsid w:val="004A414B"/>
    <w:rsid w:val="004A5164"/>
    <w:rsid w:val="004A6E19"/>
    <w:rsid w:val="004A77C5"/>
    <w:rsid w:val="004B20D8"/>
    <w:rsid w:val="004B33E2"/>
    <w:rsid w:val="004B68AE"/>
    <w:rsid w:val="004B69C5"/>
    <w:rsid w:val="004C5B6A"/>
    <w:rsid w:val="004C6616"/>
    <w:rsid w:val="004C71E8"/>
    <w:rsid w:val="004E4791"/>
    <w:rsid w:val="00513ABE"/>
    <w:rsid w:val="00514C63"/>
    <w:rsid w:val="005162E8"/>
    <w:rsid w:val="00520D61"/>
    <w:rsid w:val="0052634D"/>
    <w:rsid w:val="005339D9"/>
    <w:rsid w:val="0054789C"/>
    <w:rsid w:val="005512A2"/>
    <w:rsid w:val="00560D46"/>
    <w:rsid w:val="00563293"/>
    <w:rsid w:val="0056670B"/>
    <w:rsid w:val="00573FF8"/>
    <w:rsid w:val="00574FAA"/>
    <w:rsid w:val="00577436"/>
    <w:rsid w:val="0058032C"/>
    <w:rsid w:val="0058170A"/>
    <w:rsid w:val="00582513"/>
    <w:rsid w:val="00595075"/>
    <w:rsid w:val="005A30DF"/>
    <w:rsid w:val="005A6D59"/>
    <w:rsid w:val="005A73B0"/>
    <w:rsid w:val="005B678B"/>
    <w:rsid w:val="005B7A29"/>
    <w:rsid w:val="005C2014"/>
    <w:rsid w:val="005C256E"/>
    <w:rsid w:val="005C5303"/>
    <w:rsid w:val="005D0BF3"/>
    <w:rsid w:val="005D5FD9"/>
    <w:rsid w:val="005F7ECB"/>
    <w:rsid w:val="00603267"/>
    <w:rsid w:val="0060790A"/>
    <w:rsid w:val="006109E8"/>
    <w:rsid w:val="00617287"/>
    <w:rsid w:val="0061750F"/>
    <w:rsid w:val="00617E55"/>
    <w:rsid w:val="00623C2F"/>
    <w:rsid w:val="0064013D"/>
    <w:rsid w:val="00640FDA"/>
    <w:rsid w:val="00646FC7"/>
    <w:rsid w:val="00647D15"/>
    <w:rsid w:val="00654D52"/>
    <w:rsid w:val="00663062"/>
    <w:rsid w:val="00664156"/>
    <w:rsid w:val="00666AFD"/>
    <w:rsid w:val="00674107"/>
    <w:rsid w:val="00692F52"/>
    <w:rsid w:val="0069448D"/>
    <w:rsid w:val="00694F2E"/>
    <w:rsid w:val="006979B5"/>
    <w:rsid w:val="006A1FF0"/>
    <w:rsid w:val="006B7BB3"/>
    <w:rsid w:val="006D7DB5"/>
    <w:rsid w:val="006E047C"/>
    <w:rsid w:val="006E1D47"/>
    <w:rsid w:val="006E266D"/>
    <w:rsid w:val="006E3B55"/>
    <w:rsid w:val="006F2651"/>
    <w:rsid w:val="006F416B"/>
    <w:rsid w:val="007076C3"/>
    <w:rsid w:val="007116E7"/>
    <w:rsid w:val="00713675"/>
    <w:rsid w:val="00733FED"/>
    <w:rsid w:val="0073454D"/>
    <w:rsid w:val="00744526"/>
    <w:rsid w:val="00751428"/>
    <w:rsid w:val="0075252D"/>
    <w:rsid w:val="00753DFC"/>
    <w:rsid w:val="00763979"/>
    <w:rsid w:val="00764461"/>
    <w:rsid w:val="007665E5"/>
    <w:rsid w:val="00773A80"/>
    <w:rsid w:val="00775048"/>
    <w:rsid w:val="00777E40"/>
    <w:rsid w:val="007830B1"/>
    <w:rsid w:val="0078570D"/>
    <w:rsid w:val="00785D6D"/>
    <w:rsid w:val="007878F2"/>
    <w:rsid w:val="00790CC4"/>
    <w:rsid w:val="00790EA7"/>
    <w:rsid w:val="007A4803"/>
    <w:rsid w:val="007B675D"/>
    <w:rsid w:val="007B6E54"/>
    <w:rsid w:val="007B7C0A"/>
    <w:rsid w:val="007B7D9D"/>
    <w:rsid w:val="007D3155"/>
    <w:rsid w:val="007D5FAC"/>
    <w:rsid w:val="007E51E2"/>
    <w:rsid w:val="007F2AD3"/>
    <w:rsid w:val="007F2EA3"/>
    <w:rsid w:val="0080046D"/>
    <w:rsid w:val="00800A36"/>
    <w:rsid w:val="00805BB0"/>
    <w:rsid w:val="0081180D"/>
    <w:rsid w:val="0082325F"/>
    <w:rsid w:val="00832739"/>
    <w:rsid w:val="0084231F"/>
    <w:rsid w:val="00843468"/>
    <w:rsid w:val="00851A20"/>
    <w:rsid w:val="008523FA"/>
    <w:rsid w:val="0085571A"/>
    <w:rsid w:val="00855C66"/>
    <w:rsid w:val="008602E6"/>
    <w:rsid w:val="00862AB0"/>
    <w:rsid w:val="00875793"/>
    <w:rsid w:val="008808C4"/>
    <w:rsid w:val="00884DB5"/>
    <w:rsid w:val="0088597E"/>
    <w:rsid w:val="00892395"/>
    <w:rsid w:val="008936C3"/>
    <w:rsid w:val="008A4F30"/>
    <w:rsid w:val="008A4FB8"/>
    <w:rsid w:val="008A548A"/>
    <w:rsid w:val="008C78D4"/>
    <w:rsid w:val="008D3B63"/>
    <w:rsid w:val="008D3DDB"/>
    <w:rsid w:val="008E422A"/>
    <w:rsid w:val="008E56BB"/>
    <w:rsid w:val="009117E1"/>
    <w:rsid w:val="00912083"/>
    <w:rsid w:val="009140B9"/>
    <w:rsid w:val="0091605E"/>
    <w:rsid w:val="00921560"/>
    <w:rsid w:val="00931C3B"/>
    <w:rsid w:val="00933AA6"/>
    <w:rsid w:val="00934CCF"/>
    <w:rsid w:val="0093585C"/>
    <w:rsid w:val="00937057"/>
    <w:rsid w:val="00947567"/>
    <w:rsid w:val="00951391"/>
    <w:rsid w:val="00951EB2"/>
    <w:rsid w:val="00953118"/>
    <w:rsid w:val="00955477"/>
    <w:rsid w:val="00963CF5"/>
    <w:rsid w:val="00971689"/>
    <w:rsid w:val="00973E90"/>
    <w:rsid w:val="009838EC"/>
    <w:rsid w:val="00992822"/>
    <w:rsid w:val="009A02CB"/>
    <w:rsid w:val="009A109A"/>
    <w:rsid w:val="009A5555"/>
    <w:rsid w:val="009C2E88"/>
    <w:rsid w:val="009D22FC"/>
    <w:rsid w:val="009D4B33"/>
    <w:rsid w:val="009E17A8"/>
    <w:rsid w:val="009F144F"/>
    <w:rsid w:val="00A071B3"/>
    <w:rsid w:val="00A1002B"/>
    <w:rsid w:val="00A11A70"/>
    <w:rsid w:val="00A143FD"/>
    <w:rsid w:val="00A20D6F"/>
    <w:rsid w:val="00A2629E"/>
    <w:rsid w:val="00A26F27"/>
    <w:rsid w:val="00A314C9"/>
    <w:rsid w:val="00A35036"/>
    <w:rsid w:val="00A52F2F"/>
    <w:rsid w:val="00A53031"/>
    <w:rsid w:val="00A60102"/>
    <w:rsid w:val="00A630FF"/>
    <w:rsid w:val="00A6330A"/>
    <w:rsid w:val="00A63D9D"/>
    <w:rsid w:val="00A664AE"/>
    <w:rsid w:val="00A710FB"/>
    <w:rsid w:val="00A7547B"/>
    <w:rsid w:val="00A84116"/>
    <w:rsid w:val="00A92D8F"/>
    <w:rsid w:val="00A977D4"/>
    <w:rsid w:val="00AA3834"/>
    <w:rsid w:val="00AA621C"/>
    <w:rsid w:val="00AB4D1C"/>
    <w:rsid w:val="00AC5264"/>
    <w:rsid w:val="00AD3292"/>
    <w:rsid w:val="00AD7E29"/>
    <w:rsid w:val="00AE11F0"/>
    <w:rsid w:val="00AE591A"/>
    <w:rsid w:val="00AE5AB8"/>
    <w:rsid w:val="00AE6F22"/>
    <w:rsid w:val="00AF136A"/>
    <w:rsid w:val="00AF49E5"/>
    <w:rsid w:val="00AF557C"/>
    <w:rsid w:val="00B01F9E"/>
    <w:rsid w:val="00B03D33"/>
    <w:rsid w:val="00B115D7"/>
    <w:rsid w:val="00B14373"/>
    <w:rsid w:val="00B17810"/>
    <w:rsid w:val="00B26E25"/>
    <w:rsid w:val="00B341A7"/>
    <w:rsid w:val="00B34927"/>
    <w:rsid w:val="00B47F0E"/>
    <w:rsid w:val="00B54CB7"/>
    <w:rsid w:val="00B65022"/>
    <w:rsid w:val="00B65FC8"/>
    <w:rsid w:val="00B66F39"/>
    <w:rsid w:val="00B71216"/>
    <w:rsid w:val="00B72E63"/>
    <w:rsid w:val="00BA4032"/>
    <w:rsid w:val="00BA5CEB"/>
    <w:rsid w:val="00BC5B01"/>
    <w:rsid w:val="00BC7BE2"/>
    <w:rsid w:val="00BD1D2B"/>
    <w:rsid w:val="00BE30B1"/>
    <w:rsid w:val="00BE3490"/>
    <w:rsid w:val="00BE4419"/>
    <w:rsid w:val="00BE7F05"/>
    <w:rsid w:val="00BF4A91"/>
    <w:rsid w:val="00BF6592"/>
    <w:rsid w:val="00C10750"/>
    <w:rsid w:val="00C116C5"/>
    <w:rsid w:val="00C129E2"/>
    <w:rsid w:val="00C17C81"/>
    <w:rsid w:val="00C2692F"/>
    <w:rsid w:val="00C309D1"/>
    <w:rsid w:val="00C334BE"/>
    <w:rsid w:val="00C3462F"/>
    <w:rsid w:val="00C3490B"/>
    <w:rsid w:val="00C36AFE"/>
    <w:rsid w:val="00C45EEB"/>
    <w:rsid w:val="00C61E57"/>
    <w:rsid w:val="00C81994"/>
    <w:rsid w:val="00C82D50"/>
    <w:rsid w:val="00C919EB"/>
    <w:rsid w:val="00CB5690"/>
    <w:rsid w:val="00CC3662"/>
    <w:rsid w:val="00CC54B4"/>
    <w:rsid w:val="00CD0ACF"/>
    <w:rsid w:val="00CD1191"/>
    <w:rsid w:val="00CE1D03"/>
    <w:rsid w:val="00CF1594"/>
    <w:rsid w:val="00CF208A"/>
    <w:rsid w:val="00CF5527"/>
    <w:rsid w:val="00CF67F4"/>
    <w:rsid w:val="00D00019"/>
    <w:rsid w:val="00D0050D"/>
    <w:rsid w:val="00D01BD2"/>
    <w:rsid w:val="00D11169"/>
    <w:rsid w:val="00D122C6"/>
    <w:rsid w:val="00D14E57"/>
    <w:rsid w:val="00D171E2"/>
    <w:rsid w:val="00D17EA5"/>
    <w:rsid w:val="00D24B20"/>
    <w:rsid w:val="00D345B0"/>
    <w:rsid w:val="00D4472E"/>
    <w:rsid w:val="00D52070"/>
    <w:rsid w:val="00D567E2"/>
    <w:rsid w:val="00D56BB0"/>
    <w:rsid w:val="00D56EA8"/>
    <w:rsid w:val="00D637B1"/>
    <w:rsid w:val="00D71587"/>
    <w:rsid w:val="00D7284F"/>
    <w:rsid w:val="00D85CE2"/>
    <w:rsid w:val="00D96083"/>
    <w:rsid w:val="00DA0B0F"/>
    <w:rsid w:val="00DA13A8"/>
    <w:rsid w:val="00DA1441"/>
    <w:rsid w:val="00DB3269"/>
    <w:rsid w:val="00DB5AE5"/>
    <w:rsid w:val="00DC598A"/>
    <w:rsid w:val="00DD3A1F"/>
    <w:rsid w:val="00DD3D8A"/>
    <w:rsid w:val="00DE3B9E"/>
    <w:rsid w:val="00DE4FAE"/>
    <w:rsid w:val="00DE5B61"/>
    <w:rsid w:val="00DE6CBD"/>
    <w:rsid w:val="00DE79DF"/>
    <w:rsid w:val="00DF7B52"/>
    <w:rsid w:val="00E01F42"/>
    <w:rsid w:val="00E166ED"/>
    <w:rsid w:val="00E17DD9"/>
    <w:rsid w:val="00E26E93"/>
    <w:rsid w:val="00E3458C"/>
    <w:rsid w:val="00E35866"/>
    <w:rsid w:val="00E37717"/>
    <w:rsid w:val="00E52F86"/>
    <w:rsid w:val="00E55FA1"/>
    <w:rsid w:val="00E61B3A"/>
    <w:rsid w:val="00E67085"/>
    <w:rsid w:val="00E87C12"/>
    <w:rsid w:val="00E92623"/>
    <w:rsid w:val="00E96638"/>
    <w:rsid w:val="00EA0DB1"/>
    <w:rsid w:val="00EA2FDD"/>
    <w:rsid w:val="00EB343E"/>
    <w:rsid w:val="00EB5E5B"/>
    <w:rsid w:val="00EC5892"/>
    <w:rsid w:val="00EC6A09"/>
    <w:rsid w:val="00ED1932"/>
    <w:rsid w:val="00EE2E31"/>
    <w:rsid w:val="00EE4D96"/>
    <w:rsid w:val="00EE6A04"/>
    <w:rsid w:val="00EF0FF2"/>
    <w:rsid w:val="00F07FC9"/>
    <w:rsid w:val="00F139E1"/>
    <w:rsid w:val="00F1719D"/>
    <w:rsid w:val="00F20312"/>
    <w:rsid w:val="00F21012"/>
    <w:rsid w:val="00F21D13"/>
    <w:rsid w:val="00F336A5"/>
    <w:rsid w:val="00F4367A"/>
    <w:rsid w:val="00F4742F"/>
    <w:rsid w:val="00F57729"/>
    <w:rsid w:val="00F57CCB"/>
    <w:rsid w:val="00F6212A"/>
    <w:rsid w:val="00F64311"/>
    <w:rsid w:val="00F645D3"/>
    <w:rsid w:val="00F65852"/>
    <w:rsid w:val="00F724D6"/>
    <w:rsid w:val="00F727F2"/>
    <w:rsid w:val="00F7606D"/>
    <w:rsid w:val="00F83EE5"/>
    <w:rsid w:val="00FA624C"/>
    <w:rsid w:val="00FA7264"/>
    <w:rsid w:val="00FB70FE"/>
    <w:rsid w:val="00FC03A1"/>
    <w:rsid w:val="00FC69D4"/>
    <w:rsid w:val="00FC7F80"/>
    <w:rsid w:val="00FD34CA"/>
    <w:rsid w:val="00FE3DC7"/>
    <w:rsid w:val="00FE5E85"/>
    <w:rsid w:val="00FE7AC5"/>
    <w:rsid w:val="00FF0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7C45-97E6-4069-A991-5E49DC28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1697</Words>
  <Characters>9798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swarner2</cp:lastModifiedBy>
  <cp:revision>2</cp:revision>
  <cp:lastPrinted>2015-06-16T14:48:00Z</cp:lastPrinted>
  <dcterms:created xsi:type="dcterms:W3CDTF">2016-09-14T08:18:00Z</dcterms:created>
  <dcterms:modified xsi:type="dcterms:W3CDTF">2016-09-14T08:18:00Z</dcterms:modified>
</cp:coreProperties>
</file>